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5E3D" w14:textId="049C721B" w:rsidR="004C538C" w:rsidRPr="00EB5CBB" w:rsidRDefault="004C538C" w:rsidP="00EB5CBB">
      <w:pPr>
        <w:pStyle w:val="Sinespaciado"/>
        <w:spacing w:line="360" w:lineRule="auto"/>
        <w:ind w:left="0" w:right="-28"/>
        <w:rPr>
          <w:rFonts w:ascii="Palatino Linotype" w:hAnsi="Palatino Linotype"/>
          <w:sz w:val="22"/>
          <w:szCs w:val="22"/>
        </w:rPr>
      </w:pPr>
      <w:r w:rsidRPr="00EB5CBB">
        <w:rPr>
          <w:rFonts w:ascii="Palatino Linotype" w:hAnsi="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6108" w:rsidRPr="00EB5CBB">
        <w:rPr>
          <w:rFonts w:ascii="Palatino Linotype" w:hAnsi="Palatino Linotype"/>
          <w:sz w:val="22"/>
          <w:szCs w:val="22"/>
        </w:rPr>
        <w:t>treinta de enero</w:t>
      </w:r>
      <w:r w:rsidR="00C56D4D" w:rsidRPr="00EB5CBB">
        <w:rPr>
          <w:rFonts w:ascii="Palatino Linotype" w:hAnsi="Palatino Linotype"/>
          <w:sz w:val="22"/>
          <w:szCs w:val="22"/>
        </w:rPr>
        <w:t xml:space="preserve"> de dos mil diecinueve</w:t>
      </w:r>
      <w:r w:rsidRPr="00EB5CBB">
        <w:rPr>
          <w:rFonts w:ascii="Palatino Linotype" w:hAnsi="Palatino Linotype"/>
          <w:sz w:val="22"/>
          <w:szCs w:val="22"/>
        </w:rPr>
        <w:t>.</w:t>
      </w:r>
    </w:p>
    <w:p w14:paraId="1C25335D" w14:textId="77777777" w:rsidR="00B31222" w:rsidRPr="00EB5CBB" w:rsidRDefault="00B31222" w:rsidP="00EB5CBB">
      <w:pPr>
        <w:spacing w:line="360" w:lineRule="auto"/>
        <w:jc w:val="both"/>
        <w:rPr>
          <w:rFonts w:ascii="Palatino Linotype" w:hAnsi="Palatino Linotype" w:cs="Tahoma"/>
          <w:bCs/>
          <w:sz w:val="22"/>
          <w:szCs w:val="22"/>
        </w:rPr>
      </w:pPr>
    </w:p>
    <w:p w14:paraId="5A302B29" w14:textId="26134BED" w:rsidR="00B31222" w:rsidRPr="00E4518F" w:rsidRDefault="004C538C" w:rsidP="00CC66EC">
      <w:pPr>
        <w:spacing w:line="360" w:lineRule="auto"/>
        <w:jc w:val="both"/>
        <w:rPr>
          <w:rFonts w:ascii="Palatino Linotype" w:hAnsi="Palatino Linotype" w:cs="Tahoma"/>
          <w:bCs/>
          <w:sz w:val="22"/>
          <w:szCs w:val="22"/>
        </w:rPr>
      </w:pPr>
      <w:r w:rsidRPr="00E4518F">
        <w:rPr>
          <w:rFonts w:ascii="Palatino Linotype" w:hAnsi="Palatino Linotype" w:cs="Tahoma"/>
          <w:b/>
          <w:bCs/>
          <w:color w:val="0D0D0D" w:themeColor="text1" w:themeTint="F2"/>
          <w:sz w:val="22"/>
          <w:szCs w:val="22"/>
        </w:rPr>
        <w:t>VISTO</w:t>
      </w:r>
      <w:r w:rsidR="00203888" w:rsidRPr="00E4518F">
        <w:rPr>
          <w:rFonts w:ascii="Palatino Linotype" w:hAnsi="Palatino Linotype" w:cs="Tahoma"/>
          <w:b/>
          <w:bCs/>
          <w:color w:val="0D0D0D" w:themeColor="text1" w:themeTint="F2"/>
          <w:sz w:val="22"/>
          <w:szCs w:val="22"/>
        </w:rPr>
        <w:t xml:space="preserve"> </w:t>
      </w:r>
      <w:r w:rsidR="0019389B" w:rsidRPr="00E4518F">
        <w:rPr>
          <w:rFonts w:ascii="Palatino Linotype" w:hAnsi="Palatino Linotype" w:cs="Tahoma"/>
          <w:bCs/>
          <w:color w:val="0D0D0D" w:themeColor="text1" w:themeTint="F2"/>
          <w:sz w:val="22"/>
          <w:szCs w:val="22"/>
        </w:rPr>
        <w:t xml:space="preserve">el expediente conformado </w:t>
      </w:r>
      <w:r w:rsidR="00422869" w:rsidRPr="00E4518F">
        <w:rPr>
          <w:rFonts w:ascii="Palatino Linotype" w:hAnsi="Palatino Linotype" w:cs="Tahoma"/>
          <w:bCs/>
          <w:color w:val="0D0D0D" w:themeColor="text1" w:themeTint="F2"/>
          <w:sz w:val="22"/>
          <w:szCs w:val="22"/>
        </w:rPr>
        <w:t xml:space="preserve">con motivo del Recurso de Revisión </w:t>
      </w:r>
      <w:r w:rsidR="000E6108">
        <w:rPr>
          <w:rFonts w:ascii="Palatino Linotype" w:hAnsi="Palatino Linotype" w:cs="Tahoma"/>
          <w:b/>
          <w:bCs/>
          <w:color w:val="0D0D0D" w:themeColor="text1" w:themeTint="F2"/>
          <w:sz w:val="22"/>
          <w:szCs w:val="22"/>
        </w:rPr>
        <w:t>04366</w:t>
      </w:r>
      <w:r w:rsidR="00AE4E74" w:rsidRPr="00C46E72">
        <w:rPr>
          <w:rFonts w:ascii="Palatino Linotype" w:hAnsi="Palatino Linotype" w:cs="Tahoma"/>
          <w:b/>
          <w:bCs/>
          <w:color w:val="0D0D0D" w:themeColor="text1" w:themeTint="F2"/>
          <w:sz w:val="22"/>
          <w:szCs w:val="22"/>
        </w:rPr>
        <w:t>/INFOEM/IP/RR/2018</w:t>
      </w:r>
      <w:r w:rsidR="00422869" w:rsidRPr="00E4518F">
        <w:rPr>
          <w:rFonts w:ascii="Palatino Linotype" w:hAnsi="Palatino Linotype" w:cs="Tahoma"/>
          <w:bCs/>
          <w:color w:val="0D0D0D" w:themeColor="text1" w:themeTint="F2"/>
          <w:sz w:val="22"/>
          <w:szCs w:val="22"/>
        </w:rPr>
        <w:t xml:space="preserve">, </w:t>
      </w:r>
      <w:r w:rsidR="00127757" w:rsidRPr="00E4518F">
        <w:rPr>
          <w:rFonts w:ascii="Palatino Linotype" w:hAnsi="Palatino Linotype" w:cs="Tahoma"/>
          <w:bCs/>
          <w:color w:val="0D0D0D" w:themeColor="text1" w:themeTint="F2"/>
          <w:sz w:val="22"/>
          <w:szCs w:val="22"/>
        </w:rPr>
        <w:t xml:space="preserve">interpuesto por </w:t>
      </w:r>
      <w:r w:rsidR="00A737A9" w:rsidRPr="00C357B6">
        <w:rPr>
          <w:rFonts w:ascii="Palatino Linotype" w:hAnsi="Palatino Linotype" w:cs="Tahoma"/>
          <w:b/>
          <w:bCs/>
          <w:color w:val="0D0D0D" w:themeColor="text1" w:themeTint="F2"/>
          <w:sz w:val="22"/>
          <w:szCs w:val="22"/>
          <w:highlight w:val="black"/>
        </w:rPr>
        <w:t>XXXXXXXXXXXXXXXXXX</w:t>
      </w:r>
      <w:r w:rsidR="008A6ED1">
        <w:rPr>
          <w:rFonts w:ascii="Palatino Linotype" w:hAnsi="Palatino Linotype" w:cs="Tahoma"/>
          <w:bCs/>
          <w:color w:val="0D0D0D" w:themeColor="text1" w:themeTint="F2"/>
          <w:sz w:val="22"/>
          <w:szCs w:val="22"/>
        </w:rPr>
        <w:t>, en lo sucesivo Recurrente o P</w:t>
      </w:r>
      <w:r w:rsidR="00A25901" w:rsidRPr="00E4518F">
        <w:rPr>
          <w:rFonts w:ascii="Palatino Linotype" w:hAnsi="Palatino Linotype" w:cs="Tahoma"/>
          <w:bCs/>
          <w:color w:val="0D0D0D" w:themeColor="text1" w:themeTint="F2"/>
          <w:sz w:val="22"/>
          <w:szCs w:val="22"/>
        </w:rPr>
        <w:t>articular,</w:t>
      </w:r>
      <w:r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en contra de la respuesta del </w:t>
      </w:r>
      <w:r w:rsidR="002A0FB8" w:rsidRPr="008A6ED1">
        <w:rPr>
          <w:rFonts w:ascii="Palatino Linotype" w:hAnsi="Palatino Linotype" w:cs="Tahoma"/>
          <w:b/>
          <w:bCs/>
          <w:color w:val="0D0D0D" w:themeColor="text1" w:themeTint="F2"/>
          <w:sz w:val="22"/>
          <w:szCs w:val="22"/>
        </w:rPr>
        <w:t xml:space="preserve">Sujeto Obligado </w:t>
      </w:r>
      <w:r w:rsidR="000E6108" w:rsidRPr="008A6ED1">
        <w:rPr>
          <w:rFonts w:ascii="Palatino Linotype" w:hAnsi="Palatino Linotype" w:cs="Tahoma"/>
          <w:b/>
          <w:bCs/>
          <w:color w:val="0D0D0D" w:themeColor="text1" w:themeTint="F2"/>
          <w:sz w:val="22"/>
          <w:szCs w:val="22"/>
        </w:rPr>
        <w:t>Ayuntamiento de Naucalpan de Juárez</w:t>
      </w:r>
      <w:r w:rsidR="00DC1594" w:rsidRPr="00E4518F">
        <w:rPr>
          <w:rFonts w:ascii="Palatino Linotype" w:hAnsi="Palatino Linotype" w:cs="Tahoma"/>
          <w:bCs/>
          <w:color w:val="0D0D0D" w:themeColor="text1" w:themeTint="F2"/>
          <w:sz w:val="22"/>
          <w:szCs w:val="22"/>
        </w:rPr>
        <w:t xml:space="preserve">, </w:t>
      </w:r>
      <w:r w:rsidR="00422869" w:rsidRPr="00E4518F">
        <w:rPr>
          <w:rFonts w:ascii="Palatino Linotype" w:hAnsi="Palatino Linotype" w:cs="Tahoma"/>
          <w:bCs/>
          <w:color w:val="0D0D0D" w:themeColor="text1" w:themeTint="F2"/>
          <w:sz w:val="22"/>
          <w:szCs w:val="22"/>
        </w:rPr>
        <w:t xml:space="preserve">se emite la presente Resolución, </w:t>
      </w:r>
      <w:r w:rsidR="00DC1594" w:rsidRPr="00E4518F">
        <w:rPr>
          <w:rFonts w:ascii="Palatino Linotype" w:hAnsi="Palatino Linotype" w:cs="Tahoma"/>
          <w:bCs/>
          <w:color w:val="0D0D0D" w:themeColor="text1" w:themeTint="F2"/>
          <w:sz w:val="22"/>
          <w:szCs w:val="22"/>
        </w:rPr>
        <w:t>con base en</w:t>
      </w:r>
      <w:r w:rsidR="00203888"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los </w:t>
      </w:r>
      <w:r w:rsidR="006C1B1D" w:rsidRPr="00E4518F">
        <w:rPr>
          <w:rFonts w:ascii="Palatino Linotype" w:hAnsi="Palatino Linotype" w:cs="Tahoma"/>
          <w:bCs/>
          <w:color w:val="0D0D0D" w:themeColor="text1" w:themeTint="F2"/>
          <w:sz w:val="22"/>
          <w:szCs w:val="22"/>
        </w:rPr>
        <w:t>A</w:t>
      </w:r>
      <w:r w:rsidR="00DC1594" w:rsidRPr="00E4518F">
        <w:rPr>
          <w:rFonts w:ascii="Palatino Linotype" w:hAnsi="Palatino Linotype" w:cs="Tahoma"/>
          <w:bCs/>
          <w:color w:val="0D0D0D" w:themeColor="text1" w:themeTint="F2"/>
          <w:sz w:val="22"/>
          <w:szCs w:val="22"/>
        </w:rPr>
        <w:t xml:space="preserve">ntecedentes y </w:t>
      </w:r>
      <w:r w:rsidR="002A0FB8" w:rsidRPr="00E4518F">
        <w:rPr>
          <w:rFonts w:ascii="Palatino Linotype" w:hAnsi="Palatino Linotype" w:cs="Tahoma"/>
          <w:bCs/>
          <w:color w:val="0D0D0D" w:themeColor="text1" w:themeTint="F2"/>
          <w:sz w:val="22"/>
          <w:szCs w:val="22"/>
        </w:rPr>
        <w:t>C</w:t>
      </w:r>
      <w:r w:rsidR="002A0FB8" w:rsidRPr="00E4518F">
        <w:rPr>
          <w:rFonts w:ascii="Palatino Linotype" w:hAnsi="Palatino Linotype" w:cs="Tahoma"/>
          <w:bCs/>
          <w:sz w:val="22"/>
          <w:szCs w:val="22"/>
        </w:rPr>
        <w:t xml:space="preserve">onsiderandos </w:t>
      </w:r>
      <w:r w:rsidR="00DC1594" w:rsidRPr="00E4518F">
        <w:rPr>
          <w:rFonts w:ascii="Palatino Linotype" w:hAnsi="Palatino Linotype" w:cs="Tahoma"/>
          <w:bCs/>
          <w:sz w:val="22"/>
          <w:szCs w:val="22"/>
        </w:rPr>
        <w:t>que a continuación se exponen</w:t>
      </w:r>
      <w:r w:rsidR="00B31222" w:rsidRPr="00E4518F">
        <w:rPr>
          <w:rFonts w:ascii="Palatino Linotype" w:hAnsi="Palatino Linotype" w:cs="Tahoma"/>
          <w:bCs/>
          <w:sz w:val="22"/>
          <w:szCs w:val="22"/>
        </w:rPr>
        <w:t>:</w:t>
      </w:r>
    </w:p>
    <w:p w14:paraId="04F49C77" w14:textId="77777777" w:rsidR="00735915" w:rsidRPr="00E4518F" w:rsidRDefault="00735915" w:rsidP="00CC66EC">
      <w:pPr>
        <w:spacing w:line="360" w:lineRule="auto"/>
        <w:jc w:val="both"/>
        <w:rPr>
          <w:rFonts w:ascii="Palatino Linotype" w:hAnsi="Palatino Linotype" w:cs="Tahoma"/>
          <w:sz w:val="22"/>
          <w:szCs w:val="22"/>
        </w:rPr>
      </w:pPr>
      <w:bookmarkStart w:id="0" w:name="_GoBack"/>
      <w:bookmarkEnd w:id="0"/>
    </w:p>
    <w:p w14:paraId="3723292B" w14:textId="77777777" w:rsidR="00B31222" w:rsidRPr="00E4518F" w:rsidRDefault="00B31222" w:rsidP="00CC66EC">
      <w:pPr>
        <w:tabs>
          <w:tab w:val="center" w:pos="4522"/>
          <w:tab w:val="left" w:pos="7245"/>
        </w:tabs>
        <w:spacing w:line="360" w:lineRule="auto"/>
        <w:jc w:val="center"/>
        <w:rPr>
          <w:rFonts w:ascii="Palatino Linotype" w:hAnsi="Palatino Linotype" w:cs="Tahoma"/>
          <w:b/>
          <w:sz w:val="22"/>
          <w:szCs w:val="22"/>
        </w:rPr>
      </w:pPr>
      <w:r w:rsidRPr="00E4518F">
        <w:rPr>
          <w:rFonts w:ascii="Palatino Linotype" w:hAnsi="Palatino Linotype" w:cs="Tahoma"/>
          <w:b/>
          <w:sz w:val="22"/>
          <w:szCs w:val="22"/>
        </w:rPr>
        <w:t>ANTECEDENTES:</w:t>
      </w:r>
    </w:p>
    <w:p w14:paraId="5AEF2957" w14:textId="77777777" w:rsidR="00B31222" w:rsidRPr="00E4518F" w:rsidRDefault="00B31222" w:rsidP="00CC66EC">
      <w:pPr>
        <w:pStyle w:val="Prrafodelista"/>
        <w:tabs>
          <w:tab w:val="left" w:pos="567"/>
        </w:tabs>
        <w:spacing w:line="360" w:lineRule="auto"/>
        <w:ind w:left="0"/>
        <w:contextualSpacing w:val="0"/>
        <w:jc w:val="both"/>
        <w:rPr>
          <w:rFonts w:ascii="Palatino Linotype" w:hAnsi="Palatino Linotype" w:cs="Tahoma"/>
          <w:szCs w:val="22"/>
        </w:rPr>
      </w:pPr>
    </w:p>
    <w:p w14:paraId="2411DCD4" w14:textId="77777777" w:rsidR="00DC1594" w:rsidRPr="00E4518F" w:rsidRDefault="00B31222" w:rsidP="00CC66EC">
      <w:pPr>
        <w:pStyle w:val="Prrafodelista"/>
        <w:tabs>
          <w:tab w:val="left" w:pos="567"/>
        </w:tabs>
        <w:spacing w:line="360" w:lineRule="auto"/>
        <w:ind w:left="0"/>
        <w:contextualSpacing w:val="0"/>
        <w:jc w:val="both"/>
        <w:rPr>
          <w:rFonts w:ascii="Palatino Linotype" w:hAnsi="Palatino Linotype" w:cs="Tahoma"/>
          <w:b/>
          <w:szCs w:val="22"/>
        </w:rPr>
      </w:pPr>
      <w:r w:rsidRPr="00E4518F">
        <w:rPr>
          <w:rFonts w:ascii="Palatino Linotype" w:hAnsi="Palatino Linotype" w:cs="Tahoma"/>
          <w:b/>
          <w:szCs w:val="22"/>
        </w:rPr>
        <w:t xml:space="preserve">I. Presentación de la solicitud de información. </w:t>
      </w:r>
    </w:p>
    <w:p w14:paraId="5C516BE8" w14:textId="77777777" w:rsidR="00DC1594" w:rsidRPr="00E4518F" w:rsidRDefault="00DC1594" w:rsidP="00CC66EC">
      <w:pPr>
        <w:pStyle w:val="Prrafodelista"/>
        <w:tabs>
          <w:tab w:val="left" w:pos="567"/>
        </w:tabs>
        <w:spacing w:line="360" w:lineRule="auto"/>
        <w:ind w:left="0"/>
        <w:contextualSpacing w:val="0"/>
        <w:jc w:val="both"/>
        <w:rPr>
          <w:rFonts w:ascii="Palatino Linotype" w:hAnsi="Palatino Linotype" w:cs="Tahoma"/>
          <w:szCs w:val="22"/>
        </w:rPr>
      </w:pPr>
    </w:p>
    <w:p w14:paraId="3AA59AA5" w14:textId="45A09541" w:rsidR="00B31222" w:rsidRPr="00E4518F" w:rsidRDefault="00AA417B" w:rsidP="00CC66EC">
      <w:pPr>
        <w:pStyle w:val="Prrafodelista"/>
        <w:tabs>
          <w:tab w:val="left" w:pos="567"/>
        </w:tabs>
        <w:spacing w:line="360" w:lineRule="auto"/>
        <w:ind w:left="0"/>
        <w:contextualSpacing w:val="0"/>
        <w:jc w:val="both"/>
        <w:rPr>
          <w:rFonts w:ascii="Palatino Linotype" w:hAnsi="Palatino Linotype" w:cs="Tahoma"/>
          <w:szCs w:val="22"/>
        </w:rPr>
      </w:pPr>
      <w:r w:rsidRPr="00E4518F">
        <w:rPr>
          <w:rFonts w:ascii="Palatino Linotype" w:hAnsi="Palatino Linotype" w:cs="Tahoma"/>
          <w:szCs w:val="22"/>
        </w:rPr>
        <w:t>Con fecha</w:t>
      </w:r>
      <w:r w:rsidR="00FB0190" w:rsidRPr="00E4518F">
        <w:rPr>
          <w:rFonts w:ascii="Palatino Linotype" w:hAnsi="Palatino Linotype" w:cs="Tahoma"/>
          <w:szCs w:val="22"/>
        </w:rPr>
        <w:t xml:space="preserve"> </w:t>
      </w:r>
      <w:r w:rsidR="000E6108">
        <w:rPr>
          <w:rFonts w:ascii="Palatino Linotype" w:hAnsi="Palatino Linotype" w:cs="Tahoma"/>
          <w:szCs w:val="22"/>
        </w:rPr>
        <w:t>ocho de octubre</w:t>
      </w:r>
      <w:r w:rsidR="00FB0190" w:rsidRPr="00E4518F">
        <w:rPr>
          <w:rFonts w:ascii="Palatino Linotype" w:hAnsi="Palatino Linotype" w:cs="Tahoma"/>
          <w:szCs w:val="22"/>
        </w:rPr>
        <w:t xml:space="preserve"> </w:t>
      </w:r>
      <w:r w:rsidRPr="00E4518F">
        <w:rPr>
          <w:rFonts w:ascii="Palatino Linotype" w:hAnsi="Palatino Linotype" w:cs="Tahoma"/>
          <w:szCs w:val="22"/>
        </w:rPr>
        <w:t>de</w:t>
      </w:r>
      <w:r w:rsidR="00B31222" w:rsidRPr="00E4518F">
        <w:rPr>
          <w:rFonts w:ascii="Palatino Linotype" w:hAnsi="Palatino Linotype" w:cs="Tahoma"/>
          <w:szCs w:val="22"/>
        </w:rPr>
        <w:t xml:space="preserve"> dos mil dieciocho, </w:t>
      </w:r>
      <w:r w:rsidR="00FB0190" w:rsidRPr="00E4518F">
        <w:rPr>
          <w:rFonts w:ascii="Palatino Linotype" w:hAnsi="Palatino Linotype" w:cs="Tahoma"/>
          <w:szCs w:val="22"/>
        </w:rPr>
        <w:t>el Particular</w:t>
      </w:r>
      <w:r w:rsidR="00203888" w:rsidRPr="00E4518F">
        <w:rPr>
          <w:rFonts w:ascii="Palatino Linotype" w:hAnsi="Palatino Linotype" w:cs="Tahoma"/>
          <w:szCs w:val="22"/>
        </w:rPr>
        <w:t xml:space="preserve"> presentó</w:t>
      </w:r>
      <w:r w:rsidR="004C538C" w:rsidRPr="00E4518F">
        <w:rPr>
          <w:rFonts w:ascii="Palatino Linotype" w:hAnsi="Palatino Linotype" w:cs="Tahoma"/>
          <w:szCs w:val="22"/>
        </w:rPr>
        <w:t xml:space="preserve"> </w:t>
      </w:r>
      <w:r w:rsidR="00B31222" w:rsidRPr="00E4518F">
        <w:rPr>
          <w:rFonts w:ascii="Palatino Linotype" w:hAnsi="Palatino Linotype" w:cs="Tahoma"/>
          <w:szCs w:val="22"/>
        </w:rPr>
        <w:t xml:space="preserve">solicitud </w:t>
      </w:r>
      <w:r w:rsidR="004C538C" w:rsidRPr="00E4518F">
        <w:rPr>
          <w:rFonts w:ascii="Palatino Linotype" w:hAnsi="Palatino Linotype" w:cs="Tahoma"/>
          <w:szCs w:val="22"/>
        </w:rPr>
        <w:t xml:space="preserve">de </w:t>
      </w:r>
      <w:r w:rsidR="00B31222" w:rsidRPr="00E4518F">
        <w:rPr>
          <w:rFonts w:ascii="Palatino Linotype" w:hAnsi="Palatino Linotype" w:cs="Tahoma"/>
          <w:szCs w:val="22"/>
        </w:rPr>
        <w:t>acceso a la información</w:t>
      </w:r>
      <w:r w:rsidR="00C55151" w:rsidRPr="00E4518F">
        <w:rPr>
          <w:rFonts w:ascii="Palatino Linotype" w:hAnsi="Palatino Linotype" w:cs="Tahoma"/>
          <w:szCs w:val="22"/>
        </w:rPr>
        <w:t xml:space="preserve"> pública a través d</w:t>
      </w:r>
      <w:r w:rsidR="000C27CA" w:rsidRPr="00E4518F">
        <w:rPr>
          <w:rFonts w:ascii="Palatino Linotype" w:hAnsi="Palatino Linotype" w:cs="Tahoma"/>
          <w:szCs w:val="22"/>
          <w:lang w:val="es-ES"/>
        </w:rPr>
        <w:t>el Sistema de Acceso a la Información Mexiquense</w:t>
      </w:r>
      <w:r w:rsidR="004100AA" w:rsidRPr="00E4518F">
        <w:rPr>
          <w:rFonts w:ascii="Palatino Linotype" w:hAnsi="Palatino Linotype" w:cs="Tahoma"/>
          <w:szCs w:val="22"/>
          <w:lang w:val="es-ES"/>
        </w:rPr>
        <w:t xml:space="preserve"> (SAIMEX)</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ante e</w:t>
      </w:r>
      <w:r w:rsidR="000C27CA" w:rsidRPr="00E4518F">
        <w:rPr>
          <w:rFonts w:ascii="Palatino Linotype" w:hAnsi="Palatino Linotype" w:cs="Tahoma"/>
          <w:szCs w:val="22"/>
        </w:rPr>
        <w:t xml:space="preserve">l </w:t>
      </w:r>
      <w:r w:rsidR="000E6108">
        <w:rPr>
          <w:rFonts w:ascii="Palatino Linotype" w:hAnsi="Palatino Linotype" w:cs="Tahoma"/>
          <w:szCs w:val="22"/>
        </w:rPr>
        <w:t>Ayuntamiento de Naucalpan de Juárez</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 xml:space="preserve">mediante </w:t>
      </w:r>
      <w:r w:rsidR="00D01F75" w:rsidRPr="00E4518F">
        <w:rPr>
          <w:rFonts w:ascii="Palatino Linotype" w:hAnsi="Palatino Linotype" w:cs="Tahoma"/>
          <w:szCs w:val="22"/>
        </w:rPr>
        <w:t>la cual</w:t>
      </w:r>
      <w:r w:rsidR="00C55151" w:rsidRPr="00E4518F">
        <w:rPr>
          <w:rFonts w:ascii="Palatino Linotype" w:hAnsi="Palatino Linotype" w:cs="Tahoma"/>
          <w:szCs w:val="22"/>
        </w:rPr>
        <w:t xml:space="preserve"> requirió</w:t>
      </w:r>
      <w:r w:rsidR="00B31222" w:rsidRPr="00E4518F">
        <w:rPr>
          <w:rFonts w:ascii="Palatino Linotype" w:hAnsi="Palatino Linotype" w:cs="Tahoma"/>
          <w:szCs w:val="22"/>
        </w:rPr>
        <w:t>:</w:t>
      </w:r>
    </w:p>
    <w:p w14:paraId="7E2A6CFA" w14:textId="77777777" w:rsidR="004C538C" w:rsidRPr="00E4518F" w:rsidRDefault="004C538C" w:rsidP="00CC66EC">
      <w:pPr>
        <w:tabs>
          <w:tab w:val="left" w:pos="4667"/>
        </w:tabs>
        <w:spacing w:line="360" w:lineRule="auto"/>
        <w:ind w:left="567" w:right="567"/>
        <w:jc w:val="both"/>
        <w:rPr>
          <w:rFonts w:ascii="Palatino Linotype" w:hAnsi="Palatino Linotype" w:cs="Tahoma"/>
          <w:b/>
          <w:bCs/>
          <w:sz w:val="22"/>
        </w:rPr>
      </w:pPr>
    </w:p>
    <w:p w14:paraId="3CA3A623" w14:textId="77777777" w:rsidR="00D01F75" w:rsidRPr="00E4518F" w:rsidRDefault="006B19C6" w:rsidP="00CC66EC">
      <w:pPr>
        <w:tabs>
          <w:tab w:val="left" w:pos="4667"/>
        </w:tabs>
        <w:spacing w:line="360" w:lineRule="auto"/>
        <w:ind w:left="567" w:right="567"/>
        <w:jc w:val="both"/>
        <w:rPr>
          <w:rFonts w:ascii="Palatino Linotype" w:hAnsi="Palatino Linotype" w:cs="Tahoma"/>
          <w:b/>
          <w:bCs/>
        </w:rPr>
      </w:pPr>
      <w:r w:rsidRPr="00E4518F">
        <w:rPr>
          <w:rFonts w:ascii="Palatino Linotype" w:hAnsi="Palatino Linotype" w:cs="Tahoma"/>
          <w:b/>
          <w:bCs/>
        </w:rPr>
        <w:t>“</w:t>
      </w:r>
      <w:r w:rsidR="00D01F75" w:rsidRPr="00E4518F">
        <w:rPr>
          <w:rFonts w:ascii="Palatino Linotype" w:hAnsi="Palatino Linotype" w:cs="Tahoma"/>
          <w:b/>
          <w:bCs/>
        </w:rPr>
        <w:t>DESCRIPCIÓN CLARA Y PRECISA DE LA INFORMACIÓN SOLICITADA</w:t>
      </w:r>
    </w:p>
    <w:p w14:paraId="6D29552B" w14:textId="0F4A517D" w:rsidR="00D01F75" w:rsidRPr="00E4518F" w:rsidRDefault="000E6108" w:rsidP="00CC66EC">
      <w:pPr>
        <w:tabs>
          <w:tab w:val="left" w:pos="4667"/>
        </w:tabs>
        <w:spacing w:line="360" w:lineRule="auto"/>
        <w:ind w:left="567" w:right="567"/>
        <w:jc w:val="both"/>
        <w:rPr>
          <w:rFonts w:ascii="Palatino Linotype" w:hAnsi="Palatino Linotype" w:cs="Tahoma"/>
          <w:bCs/>
        </w:rPr>
      </w:pPr>
      <w:r w:rsidRPr="000E6108">
        <w:rPr>
          <w:rFonts w:ascii="Palatino Linotype" w:hAnsi="Palatino Linotype" w:cs="Tahoma"/>
          <w:bCs/>
        </w:rPr>
        <w:t>De acuerdo con el Presupuesto de Egresos Global Calendarizado 2017, proporcionado por el ayuntamiento de Naucalpan de Juárez, para 2017, se calendarizó ejercer en la cuenta 3300 “Servicios profesionales, científicos, técnicos</w:t>
      </w:r>
      <w:r w:rsidR="009B196F">
        <w:rPr>
          <w:rFonts w:ascii="Palatino Linotype" w:hAnsi="Palatino Linotype" w:cs="Tahoma"/>
          <w:bCs/>
        </w:rPr>
        <w:t xml:space="preserve"> y otros servicios”, 93,175,504.</w:t>
      </w:r>
      <w:r w:rsidRPr="000E6108">
        <w:rPr>
          <w:rFonts w:ascii="Palatino Linotype" w:hAnsi="Palatino Linotype" w:cs="Tahoma"/>
          <w:bCs/>
        </w:rPr>
        <w:t xml:space="preserve">34, en la cuenta 3341 “Capacitación” la cantidad de 19,623,346.95, y en la cuenta 3391, “Servicios profesionales” la cantidad de 45,053,594.00. Al respecto, se solicita la información y documentación en la se especifiquen los detalles de los servicios </w:t>
      </w:r>
      <w:r w:rsidRPr="000E6108">
        <w:rPr>
          <w:rFonts w:ascii="Palatino Linotype" w:hAnsi="Palatino Linotype" w:cs="Tahoma"/>
          <w:bCs/>
        </w:rPr>
        <w:lastRenderedPageBreak/>
        <w:t>contratados y proporcionados en cada cuenta, así como la documentación que acredite la contratación de los servicios y el ejercicio de los recursos.</w:t>
      </w:r>
      <w:r w:rsidR="006B19C6" w:rsidRPr="00E4518F">
        <w:rPr>
          <w:rFonts w:ascii="Palatino Linotype" w:hAnsi="Palatino Linotype" w:cs="Tahoma"/>
          <w:bCs/>
        </w:rPr>
        <w:t>”</w:t>
      </w:r>
      <w:r w:rsidR="00C56D4D">
        <w:rPr>
          <w:rFonts w:ascii="Palatino Linotype" w:hAnsi="Palatino Linotype" w:cs="Tahoma"/>
          <w:bCs/>
        </w:rPr>
        <w:t xml:space="preserve"> </w:t>
      </w:r>
    </w:p>
    <w:p w14:paraId="65B54542" w14:textId="77777777" w:rsidR="00D01F75" w:rsidRPr="00E4518F" w:rsidRDefault="00D01F75" w:rsidP="00CC66EC">
      <w:pPr>
        <w:tabs>
          <w:tab w:val="left" w:pos="4667"/>
        </w:tabs>
        <w:spacing w:line="360" w:lineRule="auto"/>
        <w:ind w:left="567" w:right="567"/>
        <w:jc w:val="both"/>
        <w:rPr>
          <w:rFonts w:ascii="Palatino Linotype" w:hAnsi="Palatino Linotype" w:cs="Tahoma"/>
          <w:bCs/>
        </w:rPr>
      </w:pPr>
    </w:p>
    <w:p w14:paraId="762EF1E1" w14:textId="77777777" w:rsidR="00D01F75" w:rsidRPr="00E4518F" w:rsidRDefault="00D01F75" w:rsidP="00CC66EC">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“MODALIDAD DE ENTREGA</w:t>
      </w:r>
    </w:p>
    <w:p w14:paraId="02023D14" w14:textId="77777777" w:rsidR="00D01F75" w:rsidRDefault="00E64BD9" w:rsidP="00CC66EC">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A través del SAIMEX</w:t>
      </w:r>
      <w:r w:rsidR="00D01F75" w:rsidRPr="00E4518F">
        <w:rPr>
          <w:rFonts w:ascii="Palatino Linotype" w:hAnsi="Palatino Linotype" w:cs="Tahoma"/>
          <w:bCs/>
        </w:rPr>
        <w:t>”</w:t>
      </w:r>
    </w:p>
    <w:p w14:paraId="425FDF42" w14:textId="77777777" w:rsidR="00A74376" w:rsidRPr="00C97CFF" w:rsidRDefault="00A74376" w:rsidP="00CC66EC">
      <w:pPr>
        <w:tabs>
          <w:tab w:val="left" w:pos="4667"/>
        </w:tabs>
        <w:spacing w:line="360" w:lineRule="auto"/>
        <w:ind w:left="567" w:right="567"/>
        <w:jc w:val="both"/>
        <w:rPr>
          <w:rFonts w:ascii="Palatino Linotype" w:hAnsi="Palatino Linotype" w:cs="Tahoma"/>
          <w:bCs/>
          <w:sz w:val="22"/>
        </w:rPr>
      </w:pPr>
    </w:p>
    <w:p w14:paraId="453812D9" w14:textId="6B2C0271" w:rsidR="000E6108" w:rsidRDefault="000E6108" w:rsidP="00CC66EC">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 xml:space="preserve">II. </w:t>
      </w:r>
      <w:r>
        <w:rPr>
          <w:rFonts w:ascii="Palatino Linotype" w:hAnsi="Palatino Linotype" w:cs="Tahoma"/>
          <w:b/>
          <w:sz w:val="24"/>
        </w:rPr>
        <w:t>Prórroga a dar respuesta a la solicitud de información</w:t>
      </w:r>
      <w:r w:rsidRPr="004E7DB7">
        <w:rPr>
          <w:rFonts w:ascii="Palatino Linotype" w:hAnsi="Palatino Linotype" w:cs="Tahoma"/>
          <w:b/>
          <w:sz w:val="24"/>
        </w:rPr>
        <w:t>.</w:t>
      </w:r>
    </w:p>
    <w:p w14:paraId="1337D93D" w14:textId="77777777" w:rsidR="000E6108" w:rsidRPr="004E7DB7" w:rsidRDefault="000E6108" w:rsidP="00CC66EC">
      <w:pPr>
        <w:pStyle w:val="Prrafodelista"/>
        <w:tabs>
          <w:tab w:val="left" w:pos="567"/>
        </w:tabs>
        <w:spacing w:line="360" w:lineRule="auto"/>
        <w:ind w:left="0"/>
        <w:contextualSpacing w:val="0"/>
        <w:jc w:val="both"/>
        <w:rPr>
          <w:rFonts w:ascii="Palatino Linotype" w:hAnsi="Palatino Linotype" w:cs="Tahoma"/>
          <w:b/>
          <w:sz w:val="24"/>
        </w:rPr>
      </w:pPr>
    </w:p>
    <w:p w14:paraId="6095BACC" w14:textId="7805C9DC" w:rsidR="000E6108" w:rsidRPr="00931361" w:rsidRDefault="000E6108" w:rsidP="00CC66EC">
      <w:pPr>
        <w:tabs>
          <w:tab w:val="left" w:pos="567"/>
        </w:tabs>
        <w:spacing w:line="360" w:lineRule="auto"/>
        <w:jc w:val="both"/>
        <w:rPr>
          <w:rFonts w:ascii="Palatino Linotype" w:hAnsi="Palatino Linotype" w:cs="Tahoma"/>
          <w:sz w:val="22"/>
          <w:szCs w:val="22"/>
        </w:rPr>
      </w:pPr>
      <w:r w:rsidRPr="00931361">
        <w:rPr>
          <w:rFonts w:ascii="Palatino Linotype" w:hAnsi="Palatino Linotype" w:cs="Tahoma"/>
          <w:sz w:val="22"/>
          <w:szCs w:val="22"/>
        </w:rPr>
        <w:t xml:space="preserve">Con fecha </w:t>
      </w:r>
      <w:r>
        <w:rPr>
          <w:rFonts w:ascii="Palatino Linotype" w:hAnsi="Palatino Linotype" w:cs="Tahoma"/>
          <w:sz w:val="22"/>
          <w:szCs w:val="22"/>
        </w:rPr>
        <w:t>ocho de octubre</w:t>
      </w:r>
      <w:r w:rsidRPr="00931361">
        <w:rPr>
          <w:rFonts w:ascii="Palatino Linotype" w:hAnsi="Palatino Linotype" w:cs="Tahoma"/>
          <w:sz w:val="22"/>
          <w:szCs w:val="22"/>
        </w:rPr>
        <w:t xml:space="preserve"> de dos mil dieciocho, el Ayuntamiento </w:t>
      </w:r>
      <w:r w:rsidRPr="00C14C3F">
        <w:rPr>
          <w:rFonts w:ascii="Palatino Linotype" w:hAnsi="Palatino Linotype" w:cs="Tahoma"/>
          <w:sz w:val="22"/>
          <w:szCs w:val="22"/>
        </w:rPr>
        <w:t>de Almoloya de Juárez</w:t>
      </w:r>
      <w:r w:rsidRPr="00931361">
        <w:rPr>
          <w:rFonts w:ascii="Palatino Linotype" w:hAnsi="Palatino Linotype" w:cs="Tahoma"/>
          <w:sz w:val="22"/>
          <w:szCs w:val="22"/>
        </w:rPr>
        <w:t xml:space="preserve">, notificó una prórroga para dar respuesta a </w:t>
      </w:r>
      <w:r>
        <w:rPr>
          <w:rFonts w:ascii="Palatino Linotype" w:hAnsi="Palatino Linotype" w:cs="Tahoma"/>
          <w:sz w:val="22"/>
          <w:szCs w:val="22"/>
        </w:rPr>
        <w:t>la solicitud de información</w:t>
      </w:r>
      <w:r w:rsidRPr="00931361">
        <w:rPr>
          <w:rFonts w:ascii="Palatino Linotype" w:eastAsia="Calibri" w:hAnsi="Palatino Linotype" w:cs="Tahoma"/>
          <w:bCs/>
          <w:sz w:val="22"/>
          <w:szCs w:val="22"/>
          <w:lang w:eastAsia="en-US"/>
        </w:rPr>
        <w:t xml:space="preserve">, a través del </w:t>
      </w:r>
      <w:r w:rsidRPr="00931361">
        <w:rPr>
          <w:rFonts w:ascii="Palatino Linotype" w:hAnsi="Palatino Linotype" w:cs="Tahoma"/>
          <w:sz w:val="22"/>
          <w:szCs w:val="22"/>
        </w:rPr>
        <w:t xml:space="preserve">el Sistema de Acceso a la Información Mexiquense (SAIMEX), </w:t>
      </w:r>
      <w:r>
        <w:rPr>
          <w:rFonts w:ascii="Palatino Linotype" w:hAnsi="Palatino Linotype" w:cs="Tahoma"/>
          <w:sz w:val="22"/>
          <w:szCs w:val="22"/>
        </w:rPr>
        <w:t>en donde el Responsable de la Unidad de Transparencia, señaló que para dar cabal cumplimiento a la solicitud de acceso a la información pública, en virtud del volumen de la información, requería una prórroga de siete días; sin embargo no se adjuntó el acuerdo emitido por su Comité de Transparencia.</w:t>
      </w:r>
    </w:p>
    <w:p w14:paraId="47A0E914" w14:textId="77777777" w:rsidR="000E6108" w:rsidRDefault="000E6108" w:rsidP="00CC66EC">
      <w:pPr>
        <w:pStyle w:val="Prrafodelista"/>
        <w:tabs>
          <w:tab w:val="left" w:pos="567"/>
        </w:tabs>
        <w:spacing w:line="360" w:lineRule="auto"/>
        <w:ind w:left="0"/>
        <w:contextualSpacing w:val="0"/>
        <w:jc w:val="both"/>
        <w:rPr>
          <w:rFonts w:ascii="Palatino Linotype" w:hAnsi="Palatino Linotype" w:cs="Tahoma"/>
          <w:b/>
        </w:rPr>
      </w:pPr>
    </w:p>
    <w:p w14:paraId="2AEDD0F4" w14:textId="2475B8A3" w:rsidR="00AA5A86" w:rsidRPr="00E4518F" w:rsidRDefault="000E6108" w:rsidP="00CC66EC">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III. </w:t>
      </w:r>
      <w:r w:rsidR="00AA5A86" w:rsidRPr="00E4518F">
        <w:rPr>
          <w:rFonts w:ascii="Palatino Linotype" w:hAnsi="Palatino Linotype" w:cs="Tahoma"/>
          <w:b/>
          <w:szCs w:val="22"/>
        </w:rPr>
        <w:t>Respuesta del Sujeto Obligado.</w:t>
      </w:r>
    </w:p>
    <w:p w14:paraId="0075EC53" w14:textId="77777777" w:rsidR="00AA5A86" w:rsidRPr="00C97CFF" w:rsidRDefault="00AA5A86" w:rsidP="00CC66EC">
      <w:pPr>
        <w:autoSpaceDE w:val="0"/>
        <w:autoSpaceDN w:val="0"/>
        <w:adjustRightInd w:val="0"/>
        <w:spacing w:line="360" w:lineRule="auto"/>
        <w:jc w:val="both"/>
        <w:rPr>
          <w:rFonts w:ascii="Palatino Linotype" w:hAnsi="Palatino Linotype" w:cs="Tahoma"/>
          <w:b/>
          <w:sz w:val="22"/>
          <w:szCs w:val="24"/>
        </w:rPr>
      </w:pPr>
    </w:p>
    <w:p w14:paraId="46F7E1CD" w14:textId="7322D015" w:rsidR="00E43A0F" w:rsidRPr="00E4518F" w:rsidRDefault="00E43A0F" w:rsidP="00CC66EC">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542A15">
        <w:rPr>
          <w:rFonts w:ascii="Palatino Linotype" w:hAnsi="Palatino Linotype" w:cs="Tahoma"/>
          <w:sz w:val="22"/>
          <w:szCs w:val="24"/>
        </w:rPr>
        <w:t>catorce de noviembre</w:t>
      </w:r>
      <w:r w:rsidRPr="00E4518F">
        <w:rPr>
          <w:rFonts w:ascii="Palatino Linotype" w:hAnsi="Palatino Linotype" w:cs="Tahoma"/>
          <w:sz w:val="22"/>
          <w:szCs w:val="24"/>
        </w:rPr>
        <w:t xml:space="preserve"> de dos mil dieciocho, </w:t>
      </w:r>
      <w:r w:rsidR="00FB0190" w:rsidRPr="00E4518F">
        <w:rPr>
          <w:rFonts w:ascii="Palatino Linotype" w:hAnsi="Palatino Linotype" w:cs="Tahoma"/>
          <w:sz w:val="22"/>
          <w:szCs w:val="24"/>
        </w:rPr>
        <w:t>el</w:t>
      </w:r>
      <w:r w:rsidR="004A6ECB" w:rsidRPr="00E4518F">
        <w:rPr>
          <w:rFonts w:ascii="Palatino Linotype" w:hAnsi="Palatino Linotype" w:cs="Tahoma"/>
          <w:sz w:val="22"/>
          <w:szCs w:val="24"/>
        </w:rPr>
        <w:t xml:space="preserve"> Responsable de la </w:t>
      </w:r>
      <w:r w:rsidRPr="00E4518F">
        <w:rPr>
          <w:rFonts w:ascii="Palatino Linotype" w:hAnsi="Palatino Linotype" w:cs="Tahoma"/>
          <w:sz w:val="22"/>
          <w:szCs w:val="24"/>
        </w:rPr>
        <w:t xml:space="preserve">Unidad de Transparencia del </w:t>
      </w:r>
      <w:r w:rsidR="000E6108">
        <w:rPr>
          <w:rFonts w:ascii="Palatino Linotype" w:hAnsi="Palatino Linotype" w:cs="Tahoma"/>
          <w:sz w:val="22"/>
          <w:szCs w:val="24"/>
        </w:rPr>
        <w:t>Ayuntamiento de Naucalpan de Juárez</w:t>
      </w:r>
      <w:r w:rsidR="00A86612" w:rsidRPr="00E4518F">
        <w:rPr>
          <w:rFonts w:ascii="Palatino Linotype" w:hAnsi="Palatino Linotype" w:cs="Tahoma"/>
          <w:sz w:val="22"/>
          <w:szCs w:val="24"/>
        </w:rPr>
        <w:t>,</w:t>
      </w:r>
      <w:r w:rsidR="00177DF2" w:rsidRPr="00E4518F">
        <w:rPr>
          <w:rFonts w:ascii="Palatino Linotype" w:hAnsi="Palatino Linotype" w:cs="Tahoma"/>
          <w:sz w:val="22"/>
          <w:szCs w:val="24"/>
        </w:rPr>
        <w:t xml:space="preserve"> notificó al P</w:t>
      </w:r>
      <w:r w:rsidRPr="00E4518F">
        <w:rPr>
          <w:rFonts w:ascii="Palatino Linotype" w:hAnsi="Palatino Linotype" w:cs="Tahoma"/>
          <w:sz w:val="22"/>
          <w:szCs w:val="24"/>
        </w:rPr>
        <w:t xml:space="preserve">articular, mediante el Sistema de Acceso a la Información Mexiquense (SAIMEX), la respuesta </w:t>
      </w:r>
      <w:r w:rsidR="00931361" w:rsidRPr="00E4518F">
        <w:rPr>
          <w:rFonts w:ascii="Palatino Linotype" w:hAnsi="Palatino Linotype" w:cs="Tahoma"/>
          <w:sz w:val="22"/>
          <w:szCs w:val="24"/>
        </w:rPr>
        <w:t>a la</w:t>
      </w:r>
      <w:r w:rsidR="00AA613F" w:rsidRPr="00E4518F">
        <w:rPr>
          <w:rFonts w:ascii="Palatino Linotype" w:hAnsi="Palatino Linotype" w:cs="Tahoma"/>
          <w:sz w:val="22"/>
          <w:szCs w:val="24"/>
        </w:rPr>
        <w:t xml:space="preserve"> </w:t>
      </w:r>
      <w:r w:rsidR="004A6ECB" w:rsidRPr="00E4518F">
        <w:rPr>
          <w:rFonts w:ascii="Palatino Linotype" w:hAnsi="Palatino Linotype" w:cs="Tahoma"/>
          <w:sz w:val="22"/>
          <w:szCs w:val="24"/>
        </w:rPr>
        <w:t>solicitud de acceso a</w:t>
      </w:r>
      <w:r w:rsidR="002E0F97" w:rsidRPr="00E4518F">
        <w:rPr>
          <w:rFonts w:ascii="Palatino Linotype" w:hAnsi="Palatino Linotype" w:cs="Tahoma"/>
          <w:sz w:val="22"/>
          <w:szCs w:val="24"/>
        </w:rPr>
        <w:t xml:space="preserve"> la información</w:t>
      </w:r>
      <w:r w:rsidRPr="00E4518F">
        <w:rPr>
          <w:rFonts w:ascii="Palatino Linotype" w:hAnsi="Palatino Linotype" w:cs="Tahoma"/>
          <w:sz w:val="22"/>
          <w:szCs w:val="24"/>
        </w:rPr>
        <w:t>, en los términos siguientes:</w:t>
      </w:r>
    </w:p>
    <w:p w14:paraId="2E9E516A" w14:textId="77777777" w:rsidR="002E0F97" w:rsidRPr="00E4518F" w:rsidRDefault="002E0F97" w:rsidP="00CC66EC">
      <w:pPr>
        <w:autoSpaceDE w:val="0"/>
        <w:autoSpaceDN w:val="0"/>
        <w:adjustRightInd w:val="0"/>
        <w:spacing w:line="360" w:lineRule="auto"/>
        <w:jc w:val="both"/>
        <w:rPr>
          <w:rFonts w:ascii="Palatino Linotype" w:hAnsi="Palatino Linotype" w:cs="Tahoma"/>
          <w:sz w:val="24"/>
          <w:szCs w:val="24"/>
        </w:rPr>
      </w:pPr>
    </w:p>
    <w:p w14:paraId="0AA60995" w14:textId="77777777" w:rsidR="00FB0190" w:rsidRDefault="00931361" w:rsidP="00CC66EC">
      <w:pPr>
        <w:pStyle w:val="Prrafodelista"/>
        <w:tabs>
          <w:tab w:val="left" w:pos="567"/>
        </w:tabs>
        <w:spacing w:line="360" w:lineRule="auto"/>
        <w:ind w:left="567" w:right="567"/>
        <w:jc w:val="both"/>
        <w:rPr>
          <w:rFonts w:ascii="Palatino Linotype" w:hAnsi="Palatino Linotype" w:cs="Tahoma"/>
          <w:sz w:val="20"/>
          <w:szCs w:val="20"/>
        </w:rPr>
      </w:pPr>
      <w:r w:rsidRPr="00E4518F">
        <w:rPr>
          <w:rFonts w:ascii="Palatino Linotype" w:hAnsi="Palatino Linotype" w:cs="Tahoma"/>
          <w:sz w:val="20"/>
          <w:szCs w:val="20"/>
        </w:rPr>
        <w:t>“</w:t>
      </w:r>
      <w:r w:rsidR="00C03BB2" w:rsidRPr="00E4518F">
        <w:rPr>
          <w:rFonts w:ascii="Palatino Linotype" w:hAnsi="Palatino Linotype" w:cs="Tahoma"/>
          <w:sz w:val="20"/>
          <w:szCs w:val="20"/>
        </w:rPr>
        <w:t>…</w:t>
      </w:r>
    </w:p>
    <w:p w14:paraId="44446BB8" w14:textId="77777777" w:rsidR="00542A15" w:rsidRDefault="00542A15" w:rsidP="00C97CFF">
      <w:pPr>
        <w:pStyle w:val="Prrafodelista"/>
        <w:widowControl w:val="0"/>
        <w:tabs>
          <w:tab w:val="left" w:pos="567"/>
        </w:tabs>
        <w:spacing w:line="360" w:lineRule="auto"/>
        <w:ind w:left="567" w:right="567"/>
        <w:jc w:val="both"/>
        <w:rPr>
          <w:rFonts w:ascii="Palatino Linotype" w:hAnsi="Palatino Linotype" w:cs="Tahoma"/>
          <w:sz w:val="20"/>
          <w:szCs w:val="20"/>
        </w:rPr>
      </w:pPr>
      <w:r w:rsidRPr="00542A15">
        <w:rPr>
          <w:rFonts w:ascii="Palatino Linotype" w:hAnsi="Palatino Linotype" w:cs="Tahoma"/>
          <w:sz w:val="20"/>
          <w:szCs w:val="20"/>
        </w:rPr>
        <w:t xml:space="preserve">En respuesta a la solicitud recibida, nos permitimos hacer de su conocimiento que con fundamento en el artículo 53, Fracciones: II, V y VI de la Ley de Transparencia y Acceso a </w:t>
      </w:r>
      <w:r w:rsidRPr="00542A15">
        <w:rPr>
          <w:rFonts w:ascii="Palatino Linotype" w:hAnsi="Palatino Linotype" w:cs="Tahoma"/>
          <w:sz w:val="20"/>
          <w:szCs w:val="20"/>
        </w:rPr>
        <w:lastRenderedPageBreak/>
        <w:t>la Información Pública del Estado de México y Municipios, le contestamos que:</w:t>
      </w:r>
    </w:p>
    <w:p w14:paraId="6BA93DD4" w14:textId="77777777" w:rsidR="00542A15" w:rsidRPr="00542A15" w:rsidRDefault="00542A15" w:rsidP="00CC66EC">
      <w:pPr>
        <w:pStyle w:val="Prrafodelista"/>
        <w:tabs>
          <w:tab w:val="left" w:pos="567"/>
        </w:tabs>
        <w:spacing w:line="360" w:lineRule="auto"/>
        <w:ind w:left="567" w:right="567"/>
        <w:jc w:val="both"/>
        <w:rPr>
          <w:rFonts w:ascii="Palatino Linotype" w:hAnsi="Palatino Linotype" w:cs="Tahoma"/>
          <w:sz w:val="20"/>
          <w:szCs w:val="20"/>
        </w:rPr>
      </w:pPr>
    </w:p>
    <w:p w14:paraId="1BAA8961" w14:textId="69CFF6E4" w:rsidR="00542A15" w:rsidRPr="00E4518F" w:rsidRDefault="00542A15" w:rsidP="00CC66EC">
      <w:pPr>
        <w:pStyle w:val="Prrafodelista"/>
        <w:tabs>
          <w:tab w:val="left" w:pos="567"/>
        </w:tabs>
        <w:spacing w:line="360" w:lineRule="auto"/>
        <w:ind w:left="567" w:right="567"/>
        <w:jc w:val="both"/>
        <w:rPr>
          <w:rFonts w:ascii="Palatino Linotype" w:hAnsi="Palatino Linotype" w:cs="Tahoma"/>
          <w:sz w:val="20"/>
          <w:szCs w:val="20"/>
        </w:rPr>
      </w:pPr>
      <w:r w:rsidRPr="00542A15">
        <w:rPr>
          <w:rFonts w:ascii="Palatino Linotype" w:hAnsi="Palatino Linotype" w:cs="Tahoma"/>
          <w:sz w:val="20"/>
          <w:szCs w:val="20"/>
        </w:rPr>
        <w:t xml:space="preserve">Se cita textualmente la respuesta otorgada por el Servidor Público Habilitado responsable de dar atención </w:t>
      </w:r>
      <w:r>
        <w:rPr>
          <w:rFonts w:ascii="Palatino Linotype" w:hAnsi="Palatino Linotype" w:cs="Tahoma"/>
          <w:sz w:val="20"/>
          <w:szCs w:val="20"/>
        </w:rPr>
        <w:t>a su solicitud de información. ‘</w:t>
      </w:r>
      <w:r w:rsidRPr="00542A15">
        <w:rPr>
          <w:rFonts w:ascii="Palatino Linotype" w:hAnsi="Palatino Linotype" w:cs="Tahoma"/>
          <w:sz w:val="20"/>
          <w:szCs w:val="20"/>
        </w:rPr>
        <w:t xml:space="preserve">Vista la solicitud de información ingresada a través del medio electrónico denominado ‘Sistema de Acceso a la Información Mexiquense’ (SAIMEX), identificada con el folio de solicitud 00544/NAUCALPA/IP/2018, tunada para su atención a esta Dirección General Jurídica, misma que a continuación se transcribe: </w:t>
      </w:r>
      <w:r>
        <w:rPr>
          <w:rFonts w:ascii="Palatino Linotype" w:hAnsi="Palatino Linotype" w:cs="Tahoma"/>
          <w:sz w:val="20"/>
          <w:szCs w:val="20"/>
        </w:rPr>
        <w:t>‘</w:t>
      </w:r>
      <w:r w:rsidRPr="00542A15">
        <w:rPr>
          <w:rFonts w:ascii="Palatino Linotype" w:hAnsi="Palatino Linotype" w:cs="Tahoma"/>
          <w:sz w:val="20"/>
          <w:szCs w:val="20"/>
        </w:rPr>
        <w:t>…De acuerdo con el Presupuesto de Egresos Global Calendarizado 2017, proporcionado por el ayuntamiento de Naucalpan de Juárez, para 2017, se calenda</w:t>
      </w:r>
      <w:r>
        <w:rPr>
          <w:rFonts w:ascii="Palatino Linotype" w:hAnsi="Palatino Linotype" w:cs="Tahoma"/>
          <w:sz w:val="20"/>
          <w:szCs w:val="20"/>
        </w:rPr>
        <w:t>rizó ejercer en la cuenta 3300 ‘</w:t>
      </w:r>
      <w:r w:rsidRPr="00542A15">
        <w:rPr>
          <w:rFonts w:ascii="Palatino Linotype" w:hAnsi="Palatino Linotype" w:cs="Tahoma"/>
          <w:sz w:val="20"/>
          <w:szCs w:val="20"/>
        </w:rPr>
        <w:t>Servicios profesionales, científicos, técnicos y otros servicios”, 93</w:t>
      </w:r>
      <w:r>
        <w:rPr>
          <w:rFonts w:ascii="Palatino Linotype" w:hAnsi="Palatino Linotype" w:cs="Tahoma"/>
          <w:sz w:val="20"/>
          <w:szCs w:val="20"/>
        </w:rPr>
        <w:t>,175,504.34, en la cuenta 3341 ‘</w:t>
      </w:r>
      <w:r w:rsidRPr="00542A15">
        <w:rPr>
          <w:rFonts w:ascii="Palatino Linotype" w:hAnsi="Palatino Linotype" w:cs="Tahoma"/>
          <w:sz w:val="20"/>
          <w:szCs w:val="20"/>
        </w:rPr>
        <w:t>Capacitación</w:t>
      </w:r>
      <w:r>
        <w:rPr>
          <w:rFonts w:ascii="Palatino Linotype" w:hAnsi="Palatino Linotype" w:cs="Tahoma"/>
          <w:sz w:val="20"/>
          <w:szCs w:val="20"/>
        </w:rPr>
        <w:t>’</w:t>
      </w:r>
      <w:r w:rsidRPr="00542A15">
        <w:rPr>
          <w:rFonts w:ascii="Palatino Linotype" w:hAnsi="Palatino Linotype" w:cs="Tahoma"/>
          <w:sz w:val="20"/>
          <w:szCs w:val="20"/>
        </w:rPr>
        <w:t xml:space="preserve"> la cantidad de 19,623,346.95,</w:t>
      </w:r>
      <w:r>
        <w:rPr>
          <w:rFonts w:ascii="Palatino Linotype" w:hAnsi="Palatino Linotype" w:cs="Tahoma"/>
          <w:sz w:val="20"/>
          <w:szCs w:val="20"/>
        </w:rPr>
        <w:t xml:space="preserve"> y en la cuenta 3391, ‘</w:t>
      </w:r>
      <w:r w:rsidRPr="00542A15">
        <w:rPr>
          <w:rFonts w:ascii="Palatino Linotype" w:hAnsi="Palatino Linotype" w:cs="Tahoma"/>
          <w:sz w:val="20"/>
          <w:szCs w:val="20"/>
        </w:rPr>
        <w:t>Servicios profesionales</w:t>
      </w:r>
      <w:r>
        <w:rPr>
          <w:rFonts w:ascii="Palatino Linotype" w:hAnsi="Palatino Linotype" w:cs="Tahoma"/>
          <w:sz w:val="20"/>
          <w:szCs w:val="20"/>
        </w:rPr>
        <w:t>’</w:t>
      </w:r>
      <w:r w:rsidRPr="00542A15">
        <w:rPr>
          <w:rFonts w:ascii="Palatino Linotype" w:hAnsi="Palatino Linotype" w:cs="Tahoma"/>
          <w:sz w:val="20"/>
          <w:szCs w:val="20"/>
        </w:rPr>
        <w:t xml:space="preserve"> la cantidad de 45,053,594.00. Al respecto, se solicita la información y documentación en la se especifiquen los detalles de los servicios contratados y proporcionados en cada cuenta, así como la documentación que acredite la contratación de los servicios y el ejercicio de los recursos…</w:t>
      </w:r>
      <w:r>
        <w:rPr>
          <w:rFonts w:ascii="Palatino Linotype" w:hAnsi="Palatino Linotype" w:cs="Tahoma"/>
          <w:sz w:val="20"/>
          <w:szCs w:val="20"/>
        </w:rPr>
        <w:t>’</w:t>
      </w:r>
      <w:r w:rsidRPr="00542A15">
        <w:rPr>
          <w:rFonts w:ascii="Palatino Linotype" w:hAnsi="Palatino Linotype" w:cs="Tahoma"/>
          <w:sz w:val="20"/>
          <w:szCs w:val="20"/>
        </w:rPr>
        <w:t xml:space="preserve">(sic). De la concatenación de las disposiciones legales contenidas en los artículos 6o. de la Constitución Política de los Estados Unidos Mexicanos y 5 párrafos décimo séptimo, décimo octavo y décimo noveno de la Constitución Política del Estado Libre y Soberano de México, se advierte el Estado debe garantizar el acceso al derecho humano a la información, bajo el principio de máxima publicidad de la información en posesión de las autoridades de todos los niveles de gobierno. Los artículos 4 de la Ley General de Transparencia y Acceso a la Información Pública y 4 de la Ley de Transparencia y Acceso a la Información Pública del Estado de México y Municipios, contemplan que el derecho humano de acceso a la información comprende solicitar, investigar, difundir, buscar y recibir información, sin necesidad de acreditar personalidad ni interés jurídico, y que toda la información generada, obtenida, adquirida, transformada o en posesión de los sujetos obligados es pública y accesible a </w:t>
      </w:r>
      <w:r w:rsidRPr="00542A15">
        <w:rPr>
          <w:rFonts w:ascii="Palatino Linotype" w:hAnsi="Palatino Linotype" w:cs="Tahoma"/>
          <w:sz w:val="20"/>
          <w:szCs w:val="20"/>
        </w:rPr>
        <w:lastRenderedPageBreak/>
        <w:t>cualquier persona. Asimismo, conforme a los numerales 23 fracción IV, 58, 59 fracción fracciones I y II, y 156 primer párrafo de la Ley local en la materia, son sujetos obligados a transparentar y permitir el acceso a su información los Ayuntamientos y las dependencias, organismos, órganos y entidades de la administración municipal, como lo es el titular Dirección General Jurídica, en calidad de servidor público habilitado, facultado para localizar y proporcionar la información que obre en los archivos y que sea solicitada por la Unidad de Transparencia. Bajo ese contexto, una vez realizada la búsqueda minuciosa de la información precisada en la solicitud de información identificada con el folio 00544/NAUCALPA/IP/2018, se advierte que en los archivos de la Dirección General Jurídica no obra la información solicitada. Por lo expuesto y fundado, se procede a emitir el siguiente: A c u e r d o Primero.- Una vez realizada la búsqueda minuciosa de la información precisada en la solicitud de información identificada con el folio 00544/NAUCALPA/IP/2018, se advierte que en los archivos de la Dirección General Jurídica no obra la información solicitada. Segundo.- Toda vez que la solicitante no señaló medio distinto para efectos de las notificaciones, en términos del artículo 156 de la Ley de Transparencia y Acceso a la Información Pública del Estado de México y Municipios, proporciónese la respuesta correspondiente a la solicitud de información identificada con el número de folio 00544/NAUCALPA/IP/2018, a través de</w:t>
      </w:r>
      <w:r>
        <w:rPr>
          <w:rFonts w:ascii="Palatino Linotype" w:hAnsi="Palatino Linotype" w:cs="Tahoma"/>
          <w:sz w:val="20"/>
          <w:szCs w:val="20"/>
        </w:rPr>
        <w:t>l medio electrónico denominado ‘</w:t>
      </w:r>
      <w:r w:rsidRPr="00542A15">
        <w:rPr>
          <w:rFonts w:ascii="Palatino Linotype" w:hAnsi="Palatino Linotype" w:cs="Tahoma"/>
          <w:sz w:val="20"/>
          <w:szCs w:val="20"/>
        </w:rPr>
        <w:t>Sistema de Acceso a la Información Mexiquense</w:t>
      </w:r>
      <w:r>
        <w:rPr>
          <w:rFonts w:ascii="Palatino Linotype" w:hAnsi="Palatino Linotype" w:cs="Tahoma"/>
          <w:sz w:val="20"/>
          <w:szCs w:val="20"/>
        </w:rPr>
        <w:t>’</w:t>
      </w:r>
      <w:r w:rsidRPr="00542A15">
        <w:rPr>
          <w:rFonts w:ascii="Palatino Linotype" w:hAnsi="Palatino Linotype" w:cs="Tahoma"/>
          <w:sz w:val="20"/>
          <w:szCs w:val="20"/>
        </w:rPr>
        <w:t>, en los términos expuestos en el presente acuerdo. Así lo acordó y firma: NAUCALPAN CIUDAD CON VIDA Dr. Calos Gabriel Villasana Beltrán Director General Jurídico” - En respuesta a su solicitud ingresada por el sistema de SAIMEX con folio 00544/NAUCALPA/2018, se puede dirigir a la siguiente liga: https://www.ipomex.org.mx/ipo/lgt/indice/naucalpan/convenios.web</w:t>
      </w:r>
    </w:p>
    <w:p w14:paraId="25AFBC5E" w14:textId="569A3057" w:rsidR="002E0F97" w:rsidRPr="00E4518F" w:rsidRDefault="00542A15" w:rsidP="00CC66EC">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931361" w:rsidRPr="00E4518F">
        <w:rPr>
          <w:rFonts w:ascii="Palatino Linotype" w:hAnsi="Palatino Linotype" w:cs="Tahoma"/>
          <w:sz w:val="20"/>
          <w:szCs w:val="20"/>
        </w:rPr>
        <w:t>”</w:t>
      </w:r>
      <w:r w:rsidR="0093042C" w:rsidRPr="00E4518F">
        <w:rPr>
          <w:rFonts w:ascii="Palatino Linotype" w:hAnsi="Palatino Linotype" w:cs="Tahoma"/>
          <w:sz w:val="20"/>
          <w:szCs w:val="20"/>
        </w:rPr>
        <w:t xml:space="preserve"> (</w:t>
      </w:r>
      <w:r w:rsidR="0093042C" w:rsidRPr="00E4518F">
        <w:rPr>
          <w:rFonts w:ascii="Palatino Linotype" w:hAnsi="Palatino Linotype" w:cs="Tahoma"/>
          <w:i/>
          <w:sz w:val="20"/>
          <w:szCs w:val="20"/>
        </w:rPr>
        <w:t>Sic.</w:t>
      </w:r>
      <w:r w:rsidR="0093042C" w:rsidRPr="00E4518F">
        <w:rPr>
          <w:rFonts w:ascii="Palatino Linotype" w:hAnsi="Palatino Linotype" w:cs="Tahoma"/>
          <w:sz w:val="20"/>
          <w:szCs w:val="20"/>
        </w:rPr>
        <w:t>)</w:t>
      </w:r>
    </w:p>
    <w:p w14:paraId="61DA2AE7" w14:textId="77777777" w:rsidR="004A6ECB" w:rsidRDefault="004A6ECB" w:rsidP="00CC66EC">
      <w:pPr>
        <w:autoSpaceDE w:val="0"/>
        <w:autoSpaceDN w:val="0"/>
        <w:adjustRightInd w:val="0"/>
        <w:spacing w:line="360" w:lineRule="auto"/>
        <w:jc w:val="both"/>
        <w:rPr>
          <w:rFonts w:ascii="Palatino Linotype" w:hAnsi="Palatino Linotype" w:cs="Tahoma"/>
          <w:sz w:val="22"/>
          <w:szCs w:val="24"/>
        </w:rPr>
      </w:pPr>
    </w:p>
    <w:p w14:paraId="09ACC812" w14:textId="5DB1692F" w:rsidR="00587F23" w:rsidRPr="00E4518F" w:rsidRDefault="00FB0190" w:rsidP="00CC66EC">
      <w:pPr>
        <w:autoSpaceDE w:val="0"/>
        <w:autoSpaceDN w:val="0"/>
        <w:adjustRightInd w:val="0"/>
        <w:spacing w:line="360" w:lineRule="auto"/>
        <w:jc w:val="both"/>
        <w:rPr>
          <w:rFonts w:ascii="Palatino Linotype" w:hAnsi="Palatino Linotype" w:cs="Tahoma"/>
          <w:b/>
          <w:sz w:val="22"/>
          <w:szCs w:val="24"/>
        </w:rPr>
      </w:pPr>
      <w:r w:rsidRPr="00E4518F">
        <w:rPr>
          <w:rFonts w:ascii="Palatino Linotype" w:hAnsi="Palatino Linotype" w:cs="Tahoma"/>
          <w:b/>
          <w:sz w:val="22"/>
          <w:szCs w:val="24"/>
        </w:rPr>
        <w:t>I</w:t>
      </w:r>
      <w:r w:rsidR="00633E46">
        <w:rPr>
          <w:rFonts w:ascii="Palatino Linotype" w:hAnsi="Palatino Linotype" w:cs="Tahoma"/>
          <w:b/>
          <w:sz w:val="22"/>
          <w:szCs w:val="24"/>
        </w:rPr>
        <w:t>V</w:t>
      </w:r>
      <w:r w:rsidR="00AA5A86" w:rsidRPr="00E4518F">
        <w:rPr>
          <w:rFonts w:ascii="Palatino Linotype" w:hAnsi="Palatino Linotype" w:cs="Tahoma"/>
          <w:b/>
          <w:sz w:val="22"/>
          <w:szCs w:val="24"/>
        </w:rPr>
        <w:t xml:space="preserve">. </w:t>
      </w:r>
      <w:r w:rsidR="004100AA" w:rsidRPr="00E4518F">
        <w:rPr>
          <w:rFonts w:ascii="Palatino Linotype" w:hAnsi="Palatino Linotype" w:cs="Tahoma"/>
          <w:b/>
          <w:sz w:val="22"/>
          <w:szCs w:val="24"/>
        </w:rPr>
        <w:t>Interposición</w:t>
      </w:r>
      <w:r w:rsidR="00C459A9" w:rsidRPr="00E4518F">
        <w:rPr>
          <w:rFonts w:ascii="Palatino Linotype" w:hAnsi="Palatino Linotype" w:cs="Tahoma"/>
          <w:b/>
          <w:sz w:val="22"/>
          <w:szCs w:val="24"/>
        </w:rPr>
        <w:t xml:space="preserve"> del Recurso de R</w:t>
      </w:r>
      <w:r w:rsidR="00C25238" w:rsidRPr="00E4518F">
        <w:rPr>
          <w:rFonts w:ascii="Palatino Linotype" w:hAnsi="Palatino Linotype" w:cs="Tahoma"/>
          <w:b/>
          <w:sz w:val="22"/>
          <w:szCs w:val="24"/>
        </w:rPr>
        <w:t xml:space="preserve">evisión. </w:t>
      </w:r>
    </w:p>
    <w:p w14:paraId="44842072" w14:textId="77777777" w:rsidR="00C03BB2" w:rsidRPr="00E4518F" w:rsidRDefault="00C03BB2" w:rsidP="00CC66EC">
      <w:pPr>
        <w:autoSpaceDE w:val="0"/>
        <w:autoSpaceDN w:val="0"/>
        <w:adjustRightInd w:val="0"/>
        <w:spacing w:line="360" w:lineRule="auto"/>
        <w:jc w:val="both"/>
        <w:rPr>
          <w:rFonts w:ascii="Palatino Linotype" w:hAnsi="Palatino Linotype" w:cs="Tahoma"/>
          <w:sz w:val="22"/>
          <w:szCs w:val="24"/>
        </w:rPr>
      </w:pPr>
    </w:p>
    <w:p w14:paraId="4055B38F" w14:textId="121558AC" w:rsidR="00C25238" w:rsidRPr="00E4518F" w:rsidRDefault="00B41E58" w:rsidP="00CC66EC">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542A15">
        <w:rPr>
          <w:rFonts w:ascii="Palatino Linotype" w:hAnsi="Palatino Linotype" w:cs="Tahoma"/>
          <w:sz w:val="22"/>
          <w:szCs w:val="24"/>
        </w:rPr>
        <w:t>dieciséis de noviembre</w:t>
      </w:r>
      <w:r w:rsidR="00C25238" w:rsidRPr="00E4518F">
        <w:rPr>
          <w:rFonts w:ascii="Palatino Linotype" w:hAnsi="Palatino Linotype" w:cs="Tahoma"/>
          <w:sz w:val="22"/>
          <w:szCs w:val="24"/>
        </w:rPr>
        <w:t xml:space="preserve"> de dos mil dieciocho, se recibió en este </w:t>
      </w:r>
      <w:r w:rsidR="00C25238" w:rsidRPr="00E4518F">
        <w:rPr>
          <w:rFonts w:ascii="Palatino Linotype" w:eastAsia="Calibri" w:hAnsi="Palatino Linotype" w:cs="Tahoma"/>
          <w:sz w:val="22"/>
          <w:szCs w:val="24"/>
          <w:lang w:eastAsia="en-US"/>
        </w:rPr>
        <w:t xml:space="preserve">Instituto, a través del </w:t>
      </w:r>
      <w:r w:rsidR="000313A7" w:rsidRPr="00E4518F">
        <w:rPr>
          <w:rFonts w:ascii="Palatino Linotype" w:hAnsi="Palatino Linotype" w:cs="Tahoma"/>
          <w:sz w:val="22"/>
          <w:lang w:val="es-ES"/>
        </w:rPr>
        <w:t>Sistema de Acceso a la Información Mexiquense (SAIMEX)</w:t>
      </w:r>
      <w:r w:rsidR="006C1B1D" w:rsidRPr="00E4518F">
        <w:rPr>
          <w:rFonts w:ascii="Palatino Linotype" w:hAnsi="Palatino Linotype" w:cs="Tahoma"/>
          <w:sz w:val="22"/>
          <w:szCs w:val="24"/>
        </w:rPr>
        <w:t>, Recurso de R</w:t>
      </w:r>
      <w:r w:rsidR="00C25238" w:rsidRPr="00E4518F">
        <w:rPr>
          <w:rFonts w:ascii="Palatino Linotype" w:hAnsi="Palatino Linotype" w:cs="Tahoma"/>
          <w:sz w:val="22"/>
          <w:szCs w:val="24"/>
        </w:rPr>
        <w:t>evisión interpuesto por la</w:t>
      </w:r>
      <w:r w:rsidR="006C1B1D" w:rsidRPr="00E4518F">
        <w:rPr>
          <w:rFonts w:ascii="Palatino Linotype" w:hAnsi="Palatino Linotype" w:cs="Tahoma"/>
          <w:sz w:val="22"/>
          <w:szCs w:val="24"/>
        </w:rPr>
        <w:t xml:space="preserve"> parte</w:t>
      </w:r>
      <w:r w:rsidR="00C25238" w:rsidRPr="00E4518F">
        <w:rPr>
          <w:rFonts w:ascii="Palatino Linotype" w:hAnsi="Palatino Linotype" w:cs="Tahoma"/>
          <w:sz w:val="22"/>
          <w:szCs w:val="24"/>
        </w:rPr>
        <w:t xml:space="preserve"> </w:t>
      </w:r>
      <w:r w:rsidR="00177DF2" w:rsidRPr="00E4518F">
        <w:rPr>
          <w:rFonts w:ascii="Palatino Linotype" w:hAnsi="Palatino Linotype" w:cs="Tahoma"/>
          <w:sz w:val="22"/>
          <w:szCs w:val="24"/>
        </w:rPr>
        <w:t>R</w:t>
      </w:r>
      <w:r w:rsidR="00C25238" w:rsidRPr="00E4518F">
        <w:rPr>
          <w:rFonts w:ascii="Palatino Linotype" w:hAnsi="Palatino Linotype" w:cs="Tahoma"/>
          <w:sz w:val="22"/>
          <w:szCs w:val="24"/>
        </w:rPr>
        <w:t xml:space="preserve">ecurrente, en contra </w:t>
      </w:r>
      <w:r w:rsidR="00AA613F" w:rsidRPr="00E4518F">
        <w:rPr>
          <w:rFonts w:ascii="Palatino Linotype" w:hAnsi="Palatino Linotype" w:cs="Tahoma"/>
          <w:sz w:val="22"/>
          <w:szCs w:val="24"/>
        </w:rPr>
        <w:t>de la respuesta emitida</w:t>
      </w:r>
      <w:r w:rsidR="004E401B" w:rsidRPr="00E4518F">
        <w:rPr>
          <w:rFonts w:ascii="Palatino Linotype" w:hAnsi="Palatino Linotype" w:cs="Tahoma"/>
          <w:sz w:val="22"/>
          <w:szCs w:val="24"/>
        </w:rPr>
        <w:t xml:space="preserve"> por el</w:t>
      </w:r>
      <w:r w:rsidR="00587F23" w:rsidRPr="00E4518F">
        <w:rPr>
          <w:rFonts w:ascii="Palatino Linotype" w:hAnsi="Palatino Linotype" w:cs="Tahoma"/>
          <w:sz w:val="22"/>
          <w:szCs w:val="24"/>
        </w:rPr>
        <w:t xml:space="preserve"> Sujeto Obligado</w:t>
      </w:r>
      <w:r w:rsidR="00AA613F" w:rsidRPr="00E4518F">
        <w:rPr>
          <w:rFonts w:ascii="Palatino Linotype" w:hAnsi="Palatino Linotype" w:cs="Tahoma"/>
          <w:sz w:val="22"/>
          <w:szCs w:val="24"/>
        </w:rPr>
        <w:t xml:space="preserve"> a la solicitud</w:t>
      </w:r>
      <w:r w:rsidR="004E401B" w:rsidRPr="00E4518F">
        <w:rPr>
          <w:rFonts w:ascii="Palatino Linotype" w:hAnsi="Palatino Linotype" w:cs="Tahoma"/>
          <w:sz w:val="22"/>
          <w:szCs w:val="24"/>
        </w:rPr>
        <w:t xml:space="preserve"> de información señalada al rubro</w:t>
      </w:r>
      <w:r w:rsidR="00C25238" w:rsidRPr="00E4518F">
        <w:rPr>
          <w:rFonts w:ascii="Palatino Linotype" w:hAnsi="Palatino Linotype" w:cs="Tahoma"/>
          <w:sz w:val="22"/>
          <w:szCs w:val="24"/>
        </w:rPr>
        <w:t>, en los siguientes</w:t>
      </w:r>
      <w:r w:rsidR="00587F23" w:rsidRPr="00E4518F">
        <w:rPr>
          <w:rFonts w:ascii="Palatino Linotype" w:hAnsi="Palatino Linotype" w:cs="Tahoma"/>
          <w:sz w:val="22"/>
          <w:szCs w:val="24"/>
        </w:rPr>
        <w:t xml:space="preserve"> términos</w:t>
      </w:r>
      <w:r w:rsidR="00C25238" w:rsidRPr="00E4518F">
        <w:rPr>
          <w:rFonts w:ascii="Palatino Linotype" w:hAnsi="Palatino Linotype" w:cs="Tahoma"/>
          <w:sz w:val="22"/>
          <w:szCs w:val="24"/>
        </w:rPr>
        <w:t>:</w:t>
      </w:r>
    </w:p>
    <w:p w14:paraId="32D650BD" w14:textId="77777777" w:rsidR="00C25238" w:rsidRPr="00C56D4D" w:rsidRDefault="00C25238" w:rsidP="00CC66EC">
      <w:pPr>
        <w:tabs>
          <w:tab w:val="left" w:pos="4667"/>
        </w:tabs>
        <w:spacing w:line="360" w:lineRule="auto"/>
        <w:jc w:val="both"/>
        <w:rPr>
          <w:rFonts w:ascii="Palatino Linotype" w:hAnsi="Palatino Linotype" w:cs="Tahoma"/>
          <w:bCs/>
          <w:sz w:val="22"/>
          <w:szCs w:val="24"/>
        </w:rPr>
      </w:pPr>
    </w:p>
    <w:p w14:paraId="62E429B1" w14:textId="77777777" w:rsidR="00C25238" w:rsidRPr="00E4518F" w:rsidRDefault="00177DF2" w:rsidP="00CC66EC">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w:t>
      </w:r>
      <w:r w:rsidR="00C25238" w:rsidRPr="00E4518F">
        <w:rPr>
          <w:rFonts w:ascii="Palatino Linotype" w:hAnsi="Palatino Linotype" w:cs="Tahoma"/>
          <w:b/>
          <w:bCs/>
        </w:rPr>
        <w:t>ACTO IMPUGNADO</w:t>
      </w:r>
    </w:p>
    <w:p w14:paraId="66204CA1" w14:textId="338240CA" w:rsidR="000313A7" w:rsidRPr="00E4518F" w:rsidRDefault="00542A15" w:rsidP="00CC66EC">
      <w:pPr>
        <w:autoSpaceDE w:val="0"/>
        <w:autoSpaceDN w:val="0"/>
        <w:adjustRightInd w:val="0"/>
        <w:spacing w:line="360" w:lineRule="auto"/>
        <w:ind w:left="567" w:right="567"/>
        <w:jc w:val="both"/>
        <w:rPr>
          <w:rFonts w:ascii="Palatino Linotype" w:hAnsi="Palatino Linotype" w:cs="Tahoma"/>
        </w:rPr>
      </w:pPr>
      <w:r w:rsidRPr="00542A15">
        <w:rPr>
          <w:rFonts w:ascii="Palatino Linotype" w:hAnsi="Palatino Linotype" w:cs="Tahoma"/>
        </w:rPr>
        <w:t>Respuesta a la solicitud de información con folio 00544/NAUCALPA/IP/2018</w:t>
      </w:r>
      <w:r w:rsidR="00B727C5" w:rsidRPr="00E4518F">
        <w:rPr>
          <w:rFonts w:ascii="Palatino Linotype" w:hAnsi="Palatino Linotype" w:cs="Tahoma"/>
        </w:rPr>
        <w:t>”</w:t>
      </w:r>
    </w:p>
    <w:p w14:paraId="0028BAD2" w14:textId="77777777" w:rsidR="00177DF2" w:rsidRPr="00E4518F" w:rsidRDefault="00177DF2" w:rsidP="00CC66EC">
      <w:pPr>
        <w:autoSpaceDE w:val="0"/>
        <w:autoSpaceDN w:val="0"/>
        <w:adjustRightInd w:val="0"/>
        <w:spacing w:line="360" w:lineRule="auto"/>
        <w:ind w:left="567" w:right="567"/>
        <w:jc w:val="both"/>
        <w:rPr>
          <w:rFonts w:ascii="Palatino Linotype" w:hAnsi="Palatino Linotype" w:cs="Tahoma"/>
        </w:rPr>
      </w:pPr>
    </w:p>
    <w:p w14:paraId="3593C735" w14:textId="77777777" w:rsidR="00C25238" w:rsidRPr="00E4518F" w:rsidRDefault="00177DF2" w:rsidP="00CC66EC">
      <w:pPr>
        <w:autoSpaceDE w:val="0"/>
        <w:autoSpaceDN w:val="0"/>
        <w:adjustRightInd w:val="0"/>
        <w:spacing w:line="360" w:lineRule="auto"/>
        <w:ind w:left="567" w:right="567"/>
        <w:jc w:val="both"/>
        <w:rPr>
          <w:rFonts w:ascii="Palatino Linotype" w:hAnsi="Palatino Linotype" w:cs="Tahoma"/>
          <w:b/>
        </w:rPr>
      </w:pPr>
      <w:r w:rsidRPr="00E4518F">
        <w:rPr>
          <w:rFonts w:ascii="Palatino Linotype" w:hAnsi="Palatino Linotype" w:cs="Tahoma"/>
          <w:b/>
        </w:rPr>
        <w:t>“</w:t>
      </w:r>
      <w:r w:rsidR="00C25238" w:rsidRPr="00E4518F">
        <w:rPr>
          <w:rFonts w:ascii="Palatino Linotype" w:hAnsi="Palatino Linotype" w:cs="Tahoma"/>
          <w:b/>
        </w:rPr>
        <w:t>RAZONES O MOTIVOS DE LA INCONFORMIDAD</w:t>
      </w:r>
    </w:p>
    <w:p w14:paraId="014E0996" w14:textId="217A4276" w:rsidR="00B31222" w:rsidRPr="00E4518F" w:rsidRDefault="00542A15" w:rsidP="00CC66EC">
      <w:pPr>
        <w:autoSpaceDE w:val="0"/>
        <w:autoSpaceDN w:val="0"/>
        <w:adjustRightInd w:val="0"/>
        <w:spacing w:line="360" w:lineRule="auto"/>
        <w:ind w:left="567" w:right="567"/>
        <w:jc w:val="both"/>
        <w:rPr>
          <w:rFonts w:ascii="Palatino Linotype" w:hAnsi="Palatino Linotype" w:cs="Tahoma"/>
        </w:rPr>
      </w:pPr>
      <w:r w:rsidRPr="00542A15">
        <w:rPr>
          <w:rFonts w:ascii="Palatino Linotype" w:hAnsi="Palatino Linotype" w:cs="Tahoma"/>
        </w:rPr>
        <w:t>En un principio se solicito una prorroga para la entrega de la información solicitada, argumentado que los volúmenes de la misma no permitían la entrega en tiempo, lo cual hace suponer que tienen la información y están trabajando en ella; sin embargo, en la respuesta final, la Dirección General Jurídica responde que dicha información no obra en sus archivos y que de acuerdo con la ley, solo puede entregar lo que obre en ellos. Cabe mencionar que la información solicitada no es competencia del jurídico, por lo tanto dicha área no tendría que atender la solicitud ni dar respuesta.</w:t>
      </w:r>
      <w:r w:rsidR="00177DF2" w:rsidRPr="00E4518F">
        <w:rPr>
          <w:rFonts w:ascii="Palatino Linotype" w:hAnsi="Palatino Linotype" w:cs="Tahoma"/>
        </w:rPr>
        <w:t>”</w:t>
      </w:r>
      <w:r w:rsidR="00B41E58" w:rsidRPr="00E4518F">
        <w:rPr>
          <w:rFonts w:ascii="Palatino Linotype" w:hAnsi="Palatino Linotype" w:cs="Tahoma"/>
        </w:rPr>
        <w:t xml:space="preserve"> </w:t>
      </w:r>
      <w:r w:rsidR="006C1B1D" w:rsidRPr="00E4518F">
        <w:rPr>
          <w:rFonts w:ascii="Palatino Linotype" w:hAnsi="Palatino Linotype" w:cs="Tahoma"/>
        </w:rPr>
        <w:t>(</w:t>
      </w:r>
      <w:r w:rsidR="006C1B1D" w:rsidRPr="00E4518F">
        <w:rPr>
          <w:rFonts w:ascii="Palatino Linotype" w:hAnsi="Palatino Linotype" w:cs="Tahoma"/>
          <w:i/>
        </w:rPr>
        <w:t>Sic.</w:t>
      </w:r>
      <w:r w:rsidR="006C1B1D" w:rsidRPr="00E4518F">
        <w:rPr>
          <w:rFonts w:ascii="Palatino Linotype" w:hAnsi="Palatino Linotype" w:cs="Tahoma"/>
        </w:rPr>
        <w:t>)</w:t>
      </w:r>
    </w:p>
    <w:p w14:paraId="29D26C60" w14:textId="77777777" w:rsidR="004E401B" w:rsidRPr="00C56D4D" w:rsidRDefault="004E401B" w:rsidP="00CC66EC">
      <w:pPr>
        <w:spacing w:line="360" w:lineRule="auto"/>
        <w:jc w:val="both"/>
        <w:rPr>
          <w:rFonts w:ascii="Palatino Linotype" w:hAnsi="Palatino Linotype" w:cs="Tahoma"/>
          <w:b/>
          <w:sz w:val="22"/>
          <w:szCs w:val="24"/>
        </w:rPr>
      </w:pPr>
    </w:p>
    <w:p w14:paraId="08947127" w14:textId="7A1D0BB5" w:rsidR="00B41E58" w:rsidRPr="00E4518F" w:rsidRDefault="0093042C" w:rsidP="00CC66EC">
      <w:pPr>
        <w:spacing w:line="360" w:lineRule="auto"/>
        <w:jc w:val="both"/>
        <w:rPr>
          <w:rFonts w:ascii="Palatino Linotype" w:eastAsia="Batang" w:hAnsi="Palatino Linotype" w:cs="Tahoma"/>
          <w:b/>
          <w:bCs/>
          <w:sz w:val="22"/>
          <w:szCs w:val="22"/>
        </w:rPr>
      </w:pPr>
      <w:r w:rsidRPr="00E4518F">
        <w:rPr>
          <w:rFonts w:ascii="Palatino Linotype" w:hAnsi="Palatino Linotype" w:cs="Tahoma"/>
          <w:b/>
          <w:sz w:val="22"/>
          <w:szCs w:val="22"/>
        </w:rPr>
        <w:t>V</w:t>
      </w:r>
      <w:r w:rsidR="00B41E58" w:rsidRPr="00E4518F">
        <w:rPr>
          <w:rFonts w:ascii="Palatino Linotype" w:hAnsi="Palatino Linotype" w:cs="Tahoma"/>
          <w:b/>
          <w:sz w:val="22"/>
          <w:szCs w:val="22"/>
        </w:rPr>
        <w:t xml:space="preserve">. </w:t>
      </w:r>
      <w:r w:rsidR="00B41E58" w:rsidRPr="00E4518F">
        <w:rPr>
          <w:rFonts w:ascii="Palatino Linotype" w:eastAsia="Batang" w:hAnsi="Palatino Linotype" w:cs="Tahoma"/>
          <w:b/>
          <w:bCs/>
          <w:sz w:val="22"/>
          <w:szCs w:val="22"/>
        </w:rPr>
        <w:t>Trámite del recurso de revisión ante el Instituto.</w:t>
      </w:r>
    </w:p>
    <w:p w14:paraId="41C58EB7" w14:textId="77777777" w:rsidR="00B41E58" w:rsidRPr="00E4518F" w:rsidRDefault="00B41E58" w:rsidP="00CC66EC">
      <w:pPr>
        <w:spacing w:line="360" w:lineRule="auto"/>
        <w:jc w:val="both"/>
        <w:rPr>
          <w:rFonts w:ascii="Palatino Linotype" w:eastAsia="Batang" w:hAnsi="Palatino Linotype" w:cs="Tahoma"/>
          <w:b/>
          <w:bCs/>
          <w:sz w:val="22"/>
          <w:szCs w:val="22"/>
        </w:rPr>
      </w:pPr>
    </w:p>
    <w:p w14:paraId="5300E4C0" w14:textId="6ABE0813" w:rsidR="00B41E58" w:rsidRPr="00E4518F" w:rsidRDefault="00B41E58" w:rsidP="00CC66EC">
      <w:pPr>
        <w:spacing w:line="360" w:lineRule="auto"/>
        <w:jc w:val="both"/>
        <w:rPr>
          <w:rFonts w:ascii="Palatino Linotype" w:eastAsia="Batang" w:hAnsi="Palatino Linotype" w:cs="Tahoma"/>
          <w:bCs/>
          <w:sz w:val="22"/>
          <w:szCs w:val="22"/>
        </w:rPr>
      </w:pPr>
      <w:r w:rsidRPr="00E4518F">
        <w:rPr>
          <w:rFonts w:ascii="Palatino Linotype" w:eastAsia="Batang" w:hAnsi="Palatino Linotype" w:cs="Tahoma"/>
          <w:b/>
          <w:bCs/>
          <w:sz w:val="22"/>
          <w:szCs w:val="22"/>
        </w:rPr>
        <w:t xml:space="preserve">a) Turno del recurso de revisión. </w:t>
      </w:r>
      <w:r w:rsidRPr="00E4518F">
        <w:rPr>
          <w:rFonts w:ascii="Palatino Linotype" w:eastAsia="Batang" w:hAnsi="Palatino Linotype" w:cs="Tahoma"/>
          <w:bCs/>
          <w:sz w:val="22"/>
          <w:szCs w:val="22"/>
        </w:rPr>
        <w:t xml:space="preserve">El </w:t>
      </w:r>
      <w:r w:rsidR="00542A15">
        <w:rPr>
          <w:rFonts w:ascii="Palatino Linotype" w:eastAsia="Batang" w:hAnsi="Palatino Linotype" w:cs="Tahoma"/>
          <w:bCs/>
          <w:sz w:val="22"/>
          <w:szCs w:val="22"/>
        </w:rPr>
        <w:t>dieciséis de noviembre</w:t>
      </w:r>
      <w:r w:rsidRPr="00E4518F">
        <w:rPr>
          <w:rFonts w:ascii="Palatino Linotype" w:eastAsia="Batang" w:hAnsi="Palatino Linotype" w:cs="Tahoma"/>
          <w:bCs/>
          <w:sz w:val="22"/>
          <w:szCs w:val="22"/>
        </w:rPr>
        <w:t xml:space="preserve"> de dos mil dieciocho, </w:t>
      </w:r>
      <w:r w:rsidR="0093042C" w:rsidRPr="00E4518F">
        <w:rPr>
          <w:rFonts w:ascii="Palatino Linotype" w:eastAsia="Batang" w:hAnsi="Palatino Linotype" w:cs="Tahoma"/>
          <w:bCs/>
          <w:sz w:val="22"/>
          <w:szCs w:val="22"/>
        </w:rPr>
        <w:t xml:space="preserve">el </w:t>
      </w:r>
      <w:r w:rsidR="0093042C" w:rsidRPr="00E4518F">
        <w:rPr>
          <w:rFonts w:ascii="Palatino Linotype" w:eastAsia="Batang" w:hAnsi="Palatino Linotype" w:cs="Tahoma"/>
          <w:bCs/>
          <w:sz w:val="22"/>
          <w:szCs w:val="22"/>
          <w:lang w:val="es-ES"/>
        </w:rPr>
        <w:t xml:space="preserve">Sistema de Acceso a la Información Mexiquense (SAIMEX), </w:t>
      </w:r>
      <w:r w:rsidRPr="00E4518F">
        <w:rPr>
          <w:rFonts w:ascii="Palatino Linotype" w:eastAsia="Batang" w:hAnsi="Palatino Linotype" w:cs="Tahoma"/>
          <w:bCs/>
          <w:sz w:val="22"/>
          <w:szCs w:val="22"/>
        </w:rPr>
        <w:t xml:space="preserve">asignó el número de expediente </w:t>
      </w:r>
      <w:r w:rsidR="000E6108">
        <w:rPr>
          <w:rFonts w:ascii="Palatino Linotype" w:eastAsia="Batang" w:hAnsi="Palatino Linotype" w:cs="Tahoma"/>
          <w:b/>
          <w:bCs/>
          <w:sz w:val="22"/>
          <w:szCs w:val="22"/>
        </w:rPr>
        <w:t>04366</w:t>
      </w:r>
      <w:r w:rsidR="00AE4E74" w:rsidRPr="00E4518F">
        <w:rPr>
          <w:rFonts w:ascii="Palatino Linotype" w:eastAsia="Batang" w:hAnsi="Palatino Linotype" w:cs="Tahoma"/>
          <w:b/>
          <w:bCs/>
          <w:sz w:val="22"/>
          <w:szCs w:val="22"/>
        </w:rPr>
        <w:t>/INFOEM/IP/RR/2018</w:t>
      </w:r>
      <w:r w:rsidRPr="00E4518F">
        <w:rPr>
          <w:rFonts w:ascii="Palatino Linotype" w:eastAsia="Batang" w:hAnsi="Palatino Linotype" w:cs="Tahoma"/>
          <w:b/>
          <w:bCs/>
          <w:sz w:val="22"/>
          <w:szCs w:val="22"/>
        </w:rPr>
        <w:t xml:space="preserve"> </w:t>
      </w:r>
      <w:r w:rsidR="00177DF2" w:rsidRPr="00E4518F">
        <w:rPr>
          <w:rFonts w:ascii="Palatino Linotype" w:eastAsia="Batang" w:hAnsi="Palatino Linotype" w:cs="Tahoma"/>
          <w:bCs/>
          <w:sz w:val="22"/>
          <w:szCs w:val="22"/>
        </w:rPr>
        <w:t>al Recurso de R</w:t>
      </w:r>
      <w:r w:rsidRPr="00E4518F">
        <w:rPr>
          <w:rFonts w:ascii="Palatino Linotype" w:eastAsia="Batang" w:hAnsi="Palatino Linotype" w:cs="Tahoma"/>
          <w:bCs/>
          <w:sz w:val="22"/>
          <w:szCs w:val="22"/>
        </w:rPr>
        <w:t>evisión</w:t>
      </w:r>
      <w:r w:rsidR="00177DF2" w:rsidRPr="00E4518F">
        <w:rPr>
          <w:rFonts w:ascii="Palatino Linotype" w:eastAsia="Batang" w:hAnsi="Palatino Linotype" w:cs="Tahoma"/>
          <w:bCs/>
          <w:sz w:val="22"/>
          <w:szCs w:val="22"/>
        </w:rPr>
        <w:t xml:space="preserve"> </w:t>
      </w:r>
      <w:r w:rsidRPr="00E4518F">
        <w:rPr>
          <w:rFonts w:ascii="Palatino Linotype" w:eastAsia="Batang" w:hAnsi="Palatino Linotype" w:cs="Tahoma"/>
          <w:bCs/>
          <w:sz w:val="22"/>
          <w:szCs w:val="22"/>
        </w:rPr>
        <w:t>que nos ocupa, con base en el sistema aprobado por el Pleno de este Órgano Garante y lo turnó al Comisionado Ponente Luis Gustavo Parra Noriega, para los efectos del artículo 185, fracción I</w:t>
      </w:r>
      <w:r w:rsidR="00996CB0">
        <w:rPr>
          <w:rFonts w:ascii="Palatino Linotype" w:eastAsia="Batang" w:hAnsi="Palatino Linotype" w:cs="Tahoma"/>
          <w:bCs/>
          <w:sz w:val="22"/>
          <w:szCs w:val="22"/>
        </w:rPr>
        <w:t>,</w:t>
      </w:r>
      <w:r w:rsidRPr="00E4518F">
        <w:rPr>
          <w:rFonts w:ascii="Palatino Linotype" w:eastAsia="Batang" w:hAnsi="Palatino Linotype" w:cs="Tahoma"/>
          <w:bCs/>
          <w:sz w:val="22"/>
          <w:szCs w:val="22"/>
        </w:rPr>
        <w:t xml:space="preserve"> de la Ley de Transparencia y Acceso a la Información Pública del Estado de México y Municipios.</w:t>
      </w:r>
    </w:p>
    <w:p w14:paraId="645468DF" w14:textId="77777777" w:rsidR="00B41E58" w:rsidRPr="00E4518F" w:rsidRDefault="00B41E58" w:rsidP="00CC66EC">
      <w:pPr>
        <w:spacing w:line="360" w:lineRule="auto"/>
        <w:jc w:val="both"/>
        <w:rPr>
          <w:rFonts w:ascii="Palatino Linotype" w:eastAsia="Batang" w:hAnsi="Palatino Linotype" w:cs="Tahoma"/>
          <w:b/>
          <w:bCs/>
          <w:sz w:val="22"/>
          <w:szCs w:val="22"/>
        </w:rPr>
      </w:pPr>
    </w:p>
    <w:p w14:paraId="15482C06" w14:textId="2AB2B141" w:rsidR="00B41E58" w:rsidRPr="00E4518F" w:rsidRDefault="00B41E58" w:rsidP="00CC66EC">
      <w:pPr>
        <w:spacing w:line="360" w:lineRule="auto"/>
        <w:jc w:val="both"/>
        <w:rPr>
          <w:rFonts w:ascii="Palatino Linotype" w:hAnsi="Palatino Linotype" w:cs="Tahoma"/>
          <w:bCs/>
          <w:sz w:val="22"/>
          <w:szCs w:val="22"/>
        </w:rPr>
      </w:pPr>
      <w:r w:rsidRPr="00E4518F">
        <w:rPr>
          <w:rFonts w:ascii="Palatino Linotype" w:eastAsia="Batang" w:hAnsi="Palatino Linotype" w:cs="Tahoma"/>
          <w:b/>
          <w:bCs/>
          <w:sz w:val="22"/>
          <w:szCs w:val="22"/>
        </w:rPr>
        <w:t>b) Admisión del recurso de revisión</w:t>
      </w:r>
      <w:r w:rsidRPr="00E4518F">
        <w:rPr>
          <w:rFonts w:ascii="Palatino Linotype" w:eastAsia="Batang" w:hAnsi="Palatino Linotype" w:cs="Tahoma"/>
          <w:b/>
          <w:bCs/>
          <w:sz w:val="22"/>
          <w:szCs w:val="22"/>
          <w:lang w:val="es-ES_tradnl"/>
        </w:rPr>
        <w:t xml:space="preserve">. </w:t>
      </w:r>
      <w:r w:rsidRPr="00E4518F">
        <w:rPr>
          <w:rFonts w:ascii="Palatino Linotype" w:eastAsia="Batang" w:hAnsi="Palatino Linotype" w:cs="Tahoma"/>
          <w:bCs/>
          <w:sz w:val="22"/>
          <w:szCs w:val="22"/>
          <w:lang w:val="es-ES_tradnl"/>
        </w:rPr>
        <w:t xml:space="preserve">El </w:t>
      </w:r>
      <w:r w:rsidR="00542A15">
        <w:rPr>
          <w:rFonts w:ascii="Palatino Linotype" w:eastAsia="Batang" w:hAnsi="Palatino Linotype" w:cs="Tahoma"/>
          <w:bCs/>
          <w:sz w:val="22"/>
          <w:szCs w:val="22"/>
          <w:lang w:val="es-ES_tradnl"/>
        </w:rPr>
        <w:t>veintitrés de noviembre</w:t>
      </w:r>
      <w:r w:rsidRPr="00E4518F">
        <w:rPr>
          <w:rFonts w:ascii="Palatino Linotype" w:eastAsia="Batang" w:hAnsi="Palatino Linotype" w:cs="Tahoma"/>
          <w:bCs/>
          <w:sz w:val="22"/>
          <w:szCs w:val="22"/>
          <w:lang w:val="es-ES_tradnl"/>
        </w:rPr>
        <w:t xml:space="preserve"> de dos mil dieciocho, </w:t>
      </w:r>
      <w:r w:rsidRPr="00E4518F">
        <w:rPr>
          <w:rFonts w:ascii="Palatino Linotype" w:hAnsi="Palatino Linotype" w:cs="Tahoma"/>
          <w:sz w:val="22"/>
          <w:szCs w:val="22"/>
        </w:rPr>
        <w:t>se</w:t>
      </w:r>
      <w:r w:rsidRPr="00E4518F">
        <w:rPr>
          <w:rFonts w:ascii="Palatino Linotype" w:eastAsia="Calibri" w:hAnsi="Palatino Linotype" w:cs="Tahoma"/>
          <w:sz w:val="22"/>
          <w:szCs w:val="22"/>
          <w:lang w:eastAsia="en-US"/>
        </w:rPr>
        <w:t xml:space="preserve"> acordó la admisión de</w:t>
      </w:r>
      <w:r w:rsidRPr="00E4518F">
        <w:rPr>
          <w:rFonts w:ascii="Palatino Linotype" w:hAnsi="Palatino Linotype" w:cs="Tahoma"/>
          <w:sz w:val="22"/>
          <w:szCs w:val="22"/>
        </w:rPr>
        <w:t>l recurso de revisión interpuesto por la parte recurrente en contra de</w:t>
      </w:r>
      <w:r w:rsidR="00592805" w:rsidRPr="00E4518F">
        <w:rPr>
          <w:rFonts w:ascii="Palatino Linotype" w:hAnsi="Palatino Linotype" w:cs="Tahoma"/>
          <w:sz w:val="22"/>
          <w:szCs w:val="22"/>
        </w:rPr>
        <w:t xml:space="preserve">l </w:t>
      </w:r>
      <w:r w:rsidR="000E6108">
        <w:rPr>
          <w:rFonts w:ascii="Palatino Linotype" w:hAnsi="Palatino Linotype" w:cs="Tahoma"/>
          <w:sz w:val="22"/>
          <w:szCs w:val="22"/>
        </w:rPr>
        <w:t>Ayuntamiento de Naucalpan de Juárez</w:t>
      </w:r>
      <w:r w:rsidRPr="00E4518F">
        <w:rPr>
          <w:rFonts w:ascii="Palatino Linotype" w:hAnsi="Palatino Linotype" w:cs="Tahoma"/>
          <w:sz w:val="22"/>
          <w:szCs w:val="22"/>
        </w:rPr>
        <w:t>, en términos del artículo 185, fracciones I y II</w:t>
      </w:r>
      <w:r w:rsidR="00996CB0">
        <w:rPr>
          <w:rFonts w:ascii="Palatino Linotype" w:hAnsi="Palatino Linotype" w:cs="Tahoma"/>
          <w:sz w:val="22"/>
          <w:szCs w:val="22"/>
        </w:rPr>
        <w:t>,</w:t>
      </w:r>
      <w:r w:rsidRPr="00E4518F">
        <w:rPr>
          <w:rFonts w:ascii="Palatino Linotype" w:hAnsi="Palatino Linotype" w:cs="Tahoma"/>
          <w:sz w:val="22"/>
          <w:szCs w:val="22"/>
        </w:rPr>
        <w:t xml:space="preserve"> de la </w:t>
      </w:r>
      <w:r w:rsidRPr="00E4518F">
        <w:rPr>
          <w:rFonts w:ascii="Palatino Linotype" w:hAnsi="Palatino Linotype" w:cs="Tahoma"/>
          <w:bCs/>
          <w:sz w:val="22"/>
          <w:szCs w:val="22"/>
        </w:rPr>
        <w:t xml:space="preserve">Ley de Transparencia y Acceso a la Información Pública del Estado de México y Municipios, </w:t>
      </w:r>
      <w:r w:rsidR="00A33752" w:rsidRPr="00E4518F">
        <w:rPr>
          <w:rFonts w:ascii="Palatino Linotype" w:hAnsi="Palatino Linotype" w:cs="Tahoma"/>
          <w:bCs/>
          <w:sz w:val="22"/>
          <w:szCs w:val="22"/>
        </w:rPr>
        <w:t xml:space="preserve">el cual </w:t>
      </w:r>
      <w:r w:rsidRPr="00E4518F">
        <w:rPr>
          <w:rFonts w:ascii="Palatino Linotype" w:hAnsi="Palatino Linotype" w:cs="Tahoma"/>
          <w:bCs/>
          <w:sz w:val="22"/>
          <w:szCs w:val="22"/>
        </w:rPr>
        <w:t>fue notificado a las partes el mismo día, a través del Sistema de Acceso a la Información Mexiquense</w:t>
      </w:r>
      <w:r w:rsidR="00AA613F" w:rsidRPr="00E4518F">
        <w:rPr>
          <w:rFonts w:ascii="Palatino Linotype" w:hAnsi="Palatino Linotype" w:cs="Tahoma"/>
          <w:bCs/>
          <w:sz w:val="22"/>
          <w:szCs w:val="22"/>
        </w:rPr>
        <w:t xml:space="preserve"> (SAIMEX)</w:t>
      </w:r>
      <w:r w:rsidRPr="00E4518F">
        <w:rPr>
          <w:rFonts w:ascii="Palatino Linotype" w:hAnsi="Palatino Linotype" w:cs="Tahoma"/>
          <w:bCs/>
          <w:sz w:val="22"/>
          <w:szCs w:val="22"/>
        </w:rPr>
        <w:t>, otorgándoles un plazo de siete días hábiles posteriores a dicha notificaciones para que manifestaran lo que a su derecho conviniera y formularan alegatos.</w:t>
      </w:r>
    </w:p>
    <w:p w14:paraId="0CCDA312" w14:textId="77777777" w:rsidR="006F56F8" w:rsidRPr="00E4518F" w:rsidRDefault="006F56F8" w:rsidP="00CC66EC">
      <w:pPr>
        <w:spacing w:line="360" w:lineRule="auto"/>
        <w:jc w:val="both"/>
        <w:rPr>
          <w:rFonts w:ascii="Palatino Linotype" w:hAnsi="Palatino Linotype" w:cs="Tahoma"/>
          <w:bCs/>
          <w:sz w:val="22"/>
          <w:szCs w:val="22"/>
        </w:rPr>
      </w:pPr>
    </w:p>
    <w:p w14:paraId="47F5A88E" w14:textId="109C1CA1" w:rsidR="00557905" w:rsidRPr="00C56D4D" w:rsidRDefault="00592805" w:rsidP="00CC66EC">
      <w:pPr>
        <w:spacing w:line="360" w:lineRule="auto"/>
        <w:jc w:val="both"/>
        <w:rPr>
          <w:rFonts w:ascii="Palatino Linotype" w:hAnsi="Palatino Linotype" w:cs="Tahoma"/>
          <w:sz w:val="22"/>
          <w:szCs w:val="22"/>
          <w:lang w:val="es-ES_tradnl"/>
        </w:rPr>
      </w:pPr>
      <w:r w:rsidRPr="00C56D4D">
        <w:rPr>
          <w:rFonts w:ascii="Palatino Linotype" w:hAnsi="Palatino Linotype" w:cs="Tahoma"/>
          <w:b/>
          <w:sz w:val="22"/>
          <w:szCs w:val="22"/>
        </w:rPr>
        <w:t xml:space="preserve">c) </w:t>
      </w:r>
      <w:r w:rsidR="00557905" w:rsidRPr="00C56D4D">
        <w:rPr>
          <w:rFonts w:ascii="Palatino Linotype" w:hAnsi="Palatino Linotype" w:cs="Tahoma"/>
          <w:b/>
          <w:sz w:val="22"/>
          <w:szCs w:val="22"/>
        </w:rPr>
        <w:t xml:space="preserve">Informe Justificado del Sujeto Obligado. </w:t>
      </w:r>
      <w:r w:rsidR="00557905" w:rsidRPr="00C56D4D">
        <w:rPr>
          <w:rFonts w:ascii="Palatino Linotype" w:hAnsi="Palatino Linotype" w:cs="Tahoma"/>
          <w:sz w:val="22"/>
          <w:szCs w:val="22"/>
        </w:rPr>
        <w:t xml:space="preserve">El </w:t>
      </w:r>
      <w:r w:rsidR="00542A15">
        <w:rPr>
          <w:rFonts w:ascii="Palatino Linotype" w:hAnsi="Palatino Linotype" w:cs="Tahoma"/>
          <w:sz w:val="22"/>
          <w:szCs w:val="22"/>
        </w:rPr>
        <w:t>veintiséis</w:t>
      </w:r>
      <w:r w:rsidR="00C56D4D">
        <w:rPr>
          <w:rFonts w:ascii="Palatino Linotype" w:hAnsi="Palatino Linotype" w:cs="Tahoma"/>
          <w:sz w:val="22"/>
          <w:szCs w:val="22"/>
        </w:rPr>
        <w:t xml:space="preserve"> de noviembre</w:t>
      </w:r>
      <w:r w:rsidR="00557905" w:rsidRPr="00C56D4D">
        <w:rPr>
          <w:rFonts w:ascii="Palatino Linotype" w:hAnsi="Palatino Linotype" w:cs="Tahoma"/>
          <w:sz w:val="22"/>
          <w:szCs w:val="22"/>
        </w:rPr>
        <w:t xml:space="preserve"> de dos mil dieciocho, se</w:t>
      </w:r>
      <w:r w:rsidR="00557905" w:rsidRPr="00C56D4D">
        <w:rPr>
          <w:rFonts w:ascii="Palatino Linotype" w:hAnsi="Palatino Linotype" w:cs="Tahoma"/>
          <w:sz w:val="22"/>
          <w:szCs w:val="22"/>
          <w:lang w:val="es-ES_tradnl"/>
        </w:rPr>
        <w:t xml:space="preserve"> recibió, a través del </w:t>
      </w:r>
      <w:r w:rsidR="00557905" w:rsidRPr="00C56D4D">
        <w:rPr>
          <w:rFonts w:ascii="Palatino Linotype" w:hAnsi="Palatino Linotype" w:cs="Tahoma"/>
          <w:sz w:val="22"/>
          <w:szCs w:val="22"/>
        </w:rPr>
        <w:t xml:space="preserve">Sistema de Acceso a la Información Mexiquense </w:t>
      </w:r>
      <w:r w:rsidR="00557905" w:rsidRPr="00C56D4D">
        <w:rPr>
          <w:rFonts w:ascii="Palatino Linotype" w:hAnsi="Palatino Linotype" w:cs="Tahoma"/>
          <w:bCs/>
          <w:sz w:val="22"/>
          <w:szCs w:val="22"/>
        </w:rPr>
        <w:t>(SAIMEX)</w:t>
      </w:r>
      <w:r w:rsidR="00557905" w:rsidRPr="00C56D4D">
        <w:rPr>
          <w:rFonts w:ascii="Palatino Linotype" w:hAnsi="Palatino Linotype" w:cs="Tahoma"/>
          <w:sz w:val="22"/>
          <w:szCs w:val="22"/>
          <w:lang w:val="es-ES_tradnl"/>
        </w:rPr>
        <w:t xml:space="preserve">, el oficio número </w:t>
      </w:r>
      <w:r w:rsidR="009B196F">
        <w:rPr>
          <w:rFonts w:ascii="Palatino Linotype" w:hAnsi="Palatino Linotype" w:cs="Tahoma"/>
          <w:sz w:val="22"/>
          <w:szCs w:val="22"/>
        </w:rPr>
        <w:t>DGA-1/CEJ/</w:t>
      </w:r>
      <w:r w:rsidR="009B196F" w:rsidRPr="009B196F">
        <w:rPr>
          <w:rFonts w:ascii="Palatino Linotype" w:hAnsi="Palatino Linotype" w:cs="Tahoma"/>
          <w:sz w:val="22"/>
          <w:szCs w:val="22"/>
        </w:rPr>
        <w:t>08312018</w:t>
      </w:r>
      <w:r w:rsidR="00557905" w:rsidRPr="00C56D4D">
        <w:rPr>
          <w:rFonts w:ascii="Palatino Linotype" w:hAnsi="Palatino Linotype" w:cs="Tahoma"/>
          <w:sz w:val="22"/>
          <w:szCs w:val="22"/>
          <w:lang w:val="es-ES_tradnl"/>
        </w:rPr>
        <w:t xml:space="preserve">, del </w:t>
      </w:r>
      <w:r w:rsidR="009B196F">
        <w:rPr>
          <w:rFonts w:ascii="Palatino Linotype" w:hAnsi="Palatino Linotype" w:cs="Tahoma"/>
          <w:sz w:val="22"/>
          <w:szCs w:val="22"/>
          <w:lang w:val="es-ES_tradnl"/>
        </w:rPr>
        <w:t>veintiuno de noviembre</w:t>
      </w:r>
      <w:r w:rsidR="00C56D4D">
        <w:rPr>
          <w:rFonts w:ascii="Palatino Linotype" w:hAnsi="Palatino Linotype" w:cs="Tahoma"/>
          <w:sz w:val="22"/>
          <w:szCs w:val="22"/>
          <w:lang w:val="es-ES_tradnl"/>
        </w:rPr>
        <w:t xml:space="preserve"> de dos mil dieciocho</w:t>
      </w:r>
      <w:r w:rsidR="00557905" w:rsidRPr="00C56D4D">
        <w:rPr>
          <w:rFonts w:ascii="Palatino Linotype" w:hAnsi="Palatino Linotype" w:cs="Tahoma"/>
          <w:sz w:val="22"/>
          <w:szCs w:val="22"/>
          <w:lang w:val="es-ES_tradnl"/>
        </w:rPr>
        <w:t xml:space="preserve">, suscrito </w:t>
      </w:r>
      <w:r w:rsidR="00D73721" w:rsidRPr="00C56D4D">
        <w:rPr>
          <w:rFonts w:ascii="Palatino Linotype" w:hAnsi="Palatino Linotype" w:cs="Tahoma"/>
          <w:sz w:val="22"/>
          <w:szCs w:val="22"/>
          <w:lang w:val="es-ES_tradnl"/>
        </w:rPr>
        <w:t xml:space="preserve">por </w:t>
      </w:r>
      <w:r w:rsidR="00C56D4D">
        <w:rPr>
          <w:rFonts w:ascii="Palatino Linotype" w:hAnsi="Palatino Linotype" w:cs="Tahoma"/>
          <w:sz w:val="22"/>
          <w:szCs w:val="22"/>
          <w:lang w:val="es-ES_tradnl"/>
        </w:rPr>
        <w:t xml:space="preserve">el </w:t>
      </w:r>
      <w:r w:rsidR="009B196F">
        <w:rPr>
          <w:rFonts w:ascii="Palatino Linotype" w:hAnsi="Palatino Linotype" w:cs="Tahoma"/>
          <w:sz w:val="22"/>
          <w:szCs w:val="22"/>
          <w:lang w:val="es-ES_tradnl"/>
        </w:rPr>
        <w:t xml:space="preserve">Coordinador </w:t>
      </w:r>
      <w:r w:rsidR="009B196F" w:rsidRPr="009B196F">
        <w:rPr>
          <w:rFonts w:ascii="Palatino Linotype" w:hAnsi="Palatino Linotype" w:cs="Tahoma"/>
          <w:sz w:val="22"/>
          <w:szCs w:val="22"/>
          <w:lang w:val="es-ES_tradnl"/>
        </w:rPr>
        <w:t xml:space="preserve">de </w:t>
      </w:r>
      <w:r w:rsidR="009B196F">
        <w:rPr>
          <w:rFonts w:ascii="Palatino Linotype" w:hAnsi="Palatino Linotype" w:cs="Tahoma"/>
          <w:sz w:val="22"/>
          <w:szCs w:val="22"/>
          <w:lang w:val="es-ES_tradnl"/>
        </w:rPr>
        <w:t>Enlace</w:t>
      </w:r>
      <w:r w:rsidR="009B196F" w:rsidRPr="009B196F">
        <w:rPr>
          <w:rFonts w:ascii="Palatino Linotype" w:hAnsi="Palatino Linotype" w:cs="Tahoma"/>
          <w:sz w:val="22"/>
          <w:szCs w:val="22"/>
          <w:lang w:val="es-ES_tradnl"/>
        </w:rPr>
        <w:t xml:space="preserve"> Jurídico y Enlace de Transparencia de la</w:t>
      </w:r>
      <w:r w:rsidR="009B196F">
        <w:rPr>
          <w:rFonts w:ascii="Palatino Linotype" w:hAnsi="Palatino Linotype" w:cs="Tahoma"/>
          <w:sz w:val="22"/>
          <w:szCs w:val="22"/>
          <w:lang w:val="es-ES_tradnl"/>
        </w:rPr>
        <w:t xml:space="preserve"> </w:t>
      </w:r>
      <w:r w:rsidR="009B196F" w:rsidRPr="009B196F">
        <w:rPr>
          <w:rFonts w:ascii="Palatino Linotype" w:hAnsi="Palatino Linotype" w:cs="Tahoma"/>
          <w:sz w:val="22"/>
          <w:szCs w:val="22"/>
          <w:lang w:val="es-ES_tradnl"/>
        </w:rPr>
        <w:t>Dirección General de Administración</w:t>
      </w:r>
      <w:r w:rsidR="00D73721" w:rsidRPr="00C56D4D">
        <w:rPr>
          <w:rFonts w:ascii="Palatino Linotype" w:hAnsi="Palatino Linotype" w:cs="Tahoma"/>
          <w:sz w:val="22"/>
          <w:szCs w:val="22"/>
          <w:lang w:val="es-ES_tradnl"/>
        </w:rPr>
        <w:t xml:space="preserve">, dirigido al </w:t>
      </w:r>
      <w:r w:rsidR="009B196F">
        <w:rPr>
          <w:rFonts w:ascii="Palatino Linotype" w:hAnsi="Palatino Linotype" w:cs="Tahoma"/>
          <w:sz w:val="22"/>
          <w:szCs w:val="22"/>
          <w:lang w:val="es-ES_tradnl"/>
        </w:rPr>
        <w:t>Coordinador de la</w:t>
      </w:r>
      <w:r w:rsidR="00D73721" w:rsidRPr="00C56D4D">
        <w:rPr>
          <w:rFonts w:ascii="Palatino Linotype" w:hAnsi="Palatino Linotype" w:cs="Tahoma"/>
          <w:sz w:val="22"/>
          <w:szCs w:val="22"/>
          <w:lang w:val="es-ES_tradnl"/>
        </w:rPr>
        <w:t xml:space="preserve"> Unidad de Transparencia</w:t>
      </w:r>
      <w:r w:rsidR="009B196F">
        <w:rPr>
          <w:rFonts w:ascii="Palatino Linotype" w:hAnsi="Palatino Linotype" w:cs="Tahoma"/>
          <w:sz w:val="22"/>
          <w:szCs w:val="22"/>
          <w:lang w:val="es-ES_tradnl"/>
        </w:rPr>
        <w:t xml:space="preserve"> y Acceso a la Información Pública</w:t>
      </w:r>
      <w:r w:rsidR="00D73721" w:rsidRPr="00C56D4D">
        <w:rPr>
          <w:rFonts w:ascii="Palatino Linotype" w:hAnsi="Palatino Linotype" w:cs="Tahoma"/>
          <w:sz w:val="22"/>
          <w:szCs w:val="22"/>
          <w:lang w:val="es-ES_tradnl"/>
        </w:rPr>
        <w:t xml:space="preserve">, ambos del </w:t>
      </w:r>
      <w:r w:rsidR="000E6108">
        <w:rPr>
          <w:rFonts w:ascii="Palatino Linotype" w:hAnsi="Palatino Linotype" w:cs="Tahoma"/>
          <w:sz w:val="22"/>
          <w:szCs w:val="22"/>
          <w:lang w:val="es-ES_tradnl"/>
        </w:rPr>
        <w:t>Ayuntamiento de Naucalpan de Juárez</w:t>
      </w:r>
      <w:r w:rsidR="00557905" w:rsidRPr="00C56D4D">
        <w:rPr>
          <w:rFonts w:ascii="Palatino Linotype" w:hAnsi="Palatino Linotype" w:cs="Tahoma"/>
          <w:sz w:val="22"/>
          <w:szCs w:val="22"/>
          <w:lang w:val="es-ES_tradnl"/>
        </w:rPr>
        <w:t>, cuyo contenido es el siguiente:</w:t>
      </w:r>
    </w:p>
    <w:p w14:paraId="36502036" w14:textId="77777777" w:rsidR="00D73721" w:rsidRPr="00E4518F" w:rsidRDefault="00D73721" w:rsidP="00CC66EC">
      <w:pPr>
        <w:spacing w:line="360" w:lineRule="auto"/>
        <w:jc w:val="both"/>
        <w:rPr>
          <w:rFonts w:ascii="Palatino Linotype" w:hAnsi="Palatino Linotype" w:cs="Tahoma"/>
          <w:sz w:val="22"/>
          <w:szCs w:val="22"/>
          <w:lang w:val="es-ES_tradnl"/>
        </w:rPr>
      </w:pPr>
    </w:p>
    <w:p w14:paraId="3AF07C2D" w14:textId="77777777" w:rsidR="00D73721" w:rsidRPr="00E4518F" w:rsidRDefault="00D73721" w:rsidP="00CC66EC">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w:t>
      </w:r>
    </w:p>
    <w:p w14:paraId="500317DE" w14:textId="04C7413A" w:rsidR="009B196F" w:rsidRDefault="009B196F" w:rsidP="00CC66E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E</w:t>
      </w:r>
      <w:r w:rsidRPr="009B196F">
        <w:rPr>
          <w:rFonts w:ascii="Palatino Linotype" w:hAnsi="Palatino Linotype" w:cs="Tahoma"/>
        </w:rPr>
        <w:t>n ejercicio de las atribuciones de la Dirección General de Administración, se proporcionó al solicitante la respuesta siguiente a través del SAIMEX:</w:t>
      </w:r>
    </w:p>
    <w:p w14:paraId="21B76F26" w14:textId="77777777" w:rsidR="009B196F" w:rsidRDefault="009B196F" w:rsidP="00CC66EC">
      <w:pPr>
        <w:autoSpaceDE w:val="0"/>
        <w:autoSpaceDN w:val="0"/>
        <w:adjustRightInd w:val="0"/>
        <w:spacing w:line="360" w:lineRule="auto"/>
        <w:ind w:left="567" w:right="567"/>
        <w:jc w:val="both"/>
        <w:rPr>
          <w:rFonts w:ascii="Palatino Linotype" w:hAnsi="Palatino Linotype" w:cs="Tahoma"/>
        </w:rPr>
      </w:pPr>
    </w:p>
    <w:p w14:paraId="152FD3EF" w14:textId="164D1860" w:rsidR="009B196F" w:rsidRDefault="009B196F" w:rsidP="00CC66EC">
      <w:pPr>
        <w:autoSpaceDE w:val="0"/>
        <w:autoSpaceDN w:val="0"/>
        <w:adjustRightInd w:val="0"/>
        <w:spacing w:line="360" w:lineRule="auto"/>
        <w:ind w:left="567" w:right="567"/>
        <w:jc w:val="both"/>
        <w:rPr>
          <w:rFonts w:ascii="Palatino Linotype" w:hAnsi="Palatino Linotype" w:cs="Tahoma"/>
        </w:rPr>
      </w:pPr>
      <w:r w:rsidRPr="009B196F">
        <w:rPr>
          <w:rFonts w:ascii="Palatino Linotype" w:hAnsi="Palatino Linotype" w:cs="Tahoma"/>
        </w:rPr>
        <w:t xml:space="preserve">En respuesta a su solicitud ingresada por el sistema de SAIMEX con folio 00544/NAUCALPA/2018, se puede dirigir a la siguiente liga: </w:t>
      </w:r>
      <w:hyperlink r:id="rId8" w:history="1">
        <w:r w:rsidRPr="005B51E9">
          <w:rPr>
            <w:rStyle w:val="Hipervnculo"/>
            <w:rFonts w:ascii="Palatino Linotype" w:hAnsi="Palatino Linotype" w:cs="Tahoma"/>
          </w:rPr>
          <w:t>https://www.ipomex.org.mx/ipo/lgt/indice/naucalpan/convenios.web</w:t>
        </w:r>
      </w:hyperlink>
    </w:p>
    <w:p w14:paraId="0BF105F4" w14:textId="77777777" w:rsidR="009B196F" w:rsidRDefault="009B196F" w:rsidP="00CC66EC">
      <w:pPr>
        <w:autoSpaceDE w:val="0"/>
        <w:autoSpaceDN w:val="0"/>
        <w:adjustRightInd w:val="0"/>
        <w:spacing w:line="360" w:lineRule="auto"/>
        <w:ind w:left="567" w:right="567"/>
        <w:jc w:val="both"/>
        <w:rPr>
          <w:rFonts w:ascii="Palatino Linotype" w:hAnsi="Palatino Linotype" w:cs="Tahoma"/>
        </w:rPr>
      </w:pPr>
    </w:p>
    <w:p w14:paraId="26ACDE3D" w14:textId="29F06C9E" w:rsidR="009B196F" w:rsidRDefault="009B196F" w:rsidP="00CC66EC">
      <w:pPr>
        <w:autoSpaceDE w:val="0"/>
        <w:autoSpaceDN w:val="0"/>
        <w:adjustRightInd w:val="0"/>
        <w:spacing w:line="360" w:lineRule="auto"/>
        <w:ind w:left="567" w:right="567"/>
        <w:jc w:val="both"/>
        <w:rPr>
          <w:rFonts w:ascii="Palatino Linotype" w:hAnsi="Palatino Linotype" w:cs="Tahoma"/>
        </w:rPr>
      </w:pPr>
      <w:r w:rsidRPr="009B196F">
        <w:rPr>
          <w:rFonts w:ascii="Palatino Linotype" w:hAnsi="Palatino Linotype" w:cs="Tahoma"/>
        </w:rPr>
        <w:t>Es importante aclarar que el Sujeto Obligado, solo procesa información respecto a sus obligaciones y de conformidad con los principios en materia de transparencia y acceso a la información pública, no está obligado a generarla, tal como se establece se establece en el artículo 12 de la Ley de Transparencia</w:t>
      </w:r>
      <w:r>
        <w:rPr>
          <w:rFonts w:ascii="Palatino Linotype" w:hAnsi="Palatino Linotype" w:cs="Tahoma"/>
        </w:rPr>
        <w:t xml:space="preserve"> </w:t>
      </w:r>
      <w:r w:rsidRPr="009B196F">
        <w:rPr>
          <w:rFonts w:ascii="Palatino Linotype" w:hAnsi="Palatino Linotype" w:cs="Tahoma"/>
        </w:rPr>
        <w:t>y Acceso a la información Pública del Estado de México y Municipios, que a la letra dice:</w:t>
      </w:r>
    </w:p>
    <w:p w14:paraId="0783B0BC" w14:textId="77777777" w:rsidR="009B196F" w:rsidRDefault="009B196F" w:rsidP="00CC66EC">
      <w:pPr>
        <w:autoSpaceDE w:val="0"/>
        <w:autoSpaceDN w:val="0"/>
        <w:adjustRightInd w:val="0"/>
        <w:spacing w:line="360" w:lineRule="auto"/>
        <w:ind w:left="567" w:right="567"/>
        <w:jc w:val="both"/>
        <w:rPr>
          <w:rFonts w:ascii="Palatino Linotype" w:hAnsi="Palatino Linotype" w:cs="Tahoma"/>
        </w:rPr>
      </w:pPr>
    </w:p>
    <w:p w14:paraId="621FCCC6" w14:textId="201C1775" w:rsidR="009B196F" w:rsidRDefault="009B196F" w:rsidP="00CC66EC">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[Se reproduce el artículo 12 de la Ley de la materia]</w:t>
      </w:r>
    </w:p>
    <w:p w14:paraId="70BCA79C" w14:textId="77777777" w:rsidR="009B196F" w:rsidRDefault="009B196F" w:rsidP="00CC66EC">
      <w:pPr>
        <w:autoSpaceDE w:val="0"/>
        <w:autoSpaceDN w:val="0"/>
        <w:adjustRightInd w:val="0"/>
        <w:spacing w:line="360" w:lineRule="auto"/>
        <w:ind w:left="567" w:right="567"/>
        <w:jc w:val="both"/>
        <w:rPr>
          <w:rFonts w:ascii="Palatino Linotype" w:hAnsi="Palatino Linotype" w:cs="Tahoma"/>
        </w:rPr>
      </w:pPr>
    </w:p>
    <w:p w14:paraId="10771026" w14:textId="34579A59" w:rsidR="009B196F" w:rsidRDefault="009B196F" w:rsidP="00CC66EC">
      <w:pPr>
        <w:autoSpaceDE w:val="0"/>
        <w:autoSpaceDN w:val="0"/>
        <w:adjustRightInd w:val="0"/>
        <w:spacing w:line="360" w:lineRule="auto"/>
        <w:ind w:left="567" w:right="567"/>
        <w:jc w:val="both"/>
        <w:rPr>
          <w:rFonts w:ascii="Palatino Linotype" w:hAnsi="Palatino Linotype" w:cs="Tahoma"/>
        </w:rPr>
      </w:pPr>
      <w:r w:rsidRPr="009B196F">
        <w:rPr>
          <w:rFonts w:ascii="Palatino Linotype" w:hAnsi="Palatino Linotype" w:cs="Tahoma"/>
        </w:rPr>
        <w:t>Derivado de lo anterior se solicita se deseche por improcedente valorando que la información solicitada fue proporcionada, no se afectó el derecho a la información y solo se impugna la veracidad de la información, lo anterior de conformidad con lo dispuesto en los artículos 191 fracción V y 192 fracción V de la Ley de Transparencia y Acceso a la Información Pública del Estado de México y Municipios.</w:t>
      </w:r>
    </w:p>
    <w:p w14:paraId="0FF2356D" w14:textId="77777777" w:rsidR="00D73721" w:rsidRDefault="00D73721" w:rsidP="00CC66EC">
      <w:pPr>
        <w:autoSpaceDE w:val="0"/>
        <w:autoSpaceDN w:val="0"/>
        <w:adjustRightInd w:val="0"/>
        <w:spacing w:line="360" w:lineRule="auto"/>
        <w:ind w:left="567" w:right="567"/>
        <w:jc w:val="both"/>
        <w:rPr>
          <w:rFonts w:ascii="Palatino Linotype" w:hAnsi="Palatino Linotype" w:cs="Tahoma"/>
        </w:rPr>
      </w:pPr>
      <w:r w:rsidRPr="00E4518F">
        <w:rPr>
          <w:rFonts w:ascii="Palatino Linotype" w:hAnsi="Palatino Linotype" w:cs="Tahoma"/>
        </w:rPr>
        <w:t>…” (</w:t>
      </w:r>
      <w:r w:rsidRPr="00E4518F">
        <w:rPr>
          <w:rFonts w:ascii="Palatino Linotype" w:hAnsi="Palatino Linotype" w:cs="Tahoma"/>
          <w:i/>
        </w:rPr>
        <w:t>Sic.</w:t>
      </w:r>
      <w:r w:rsidRPr="00E4518F">
        <w:rPr>
          <w:rFonts w:ascii="Palatino Linotype" w:hAnsi="Palatino Linotype" w:cs="Tahoma"/>
        </w:rPr>
        <w:t>)</w:t>
      </w:r>
    </w:p>
    <w:p w14:paraId="7D366BE0" w14:textId="77777777" w:rsidR="00A74376" w:rsidRPr="008B5215" w:rsidRDefault="00A74376" w:rsidP="00633E46">
      <w:pPr>
        <w:autoSpaceDE w:val="0"/>
        <w:autoSpaceDN w:val="0"/>
        <w:adjustRightInd w:val="0"/>
        <w:spacing w:line="360" w:lineRule="auto"/>
        <w:ind w:left="567"/>
        <w:jc w:val="both"/>
        <w:rPr>
          <w:rFonts w:ascii="Palatino Linotype" w:hAnsi="Palatino Linotype" w:cs="Tahoma"/>
          <w:sz w:val="22"/>
        </w:rPr>
      </w:pPr>
    </w:p>
    <w:p w14:paraId="757843EA" w14:textId="3000ED5B" w:rsidR="00A74376" w:rsidRDefault="00557905" w:rsidP="00633E46">
      <w:pPr>
        <w:spacing w:line="360" w:lineRule="auto"/>
        <w:jc w:val="both"/>
        <w:rPr>
          <w:rFonts w:ascii="Palatino Linotype" w:hAnsi="Palatino Linotype" w:cs="Tahoma"/>
          <w:b/>
          <w:sz w:val="22"/>
          <w:szCs w:val="22"/>
        </w:rPr>
      </w:pPr>
      <w:r w:rsidRPr="00E4518F">
        <w:rPr>
          <w:rFonts w:ascii="Palatino Linotype" w:hAnsi="Palatino Linotype" w:cs="Tahoma"/>
          <w:b/>
          <w:sz w:val="22"/>
          <w:szCs w:val="22"/>
        </w:rPr>
        <w:t xml:space="preserve">d) </w:t>
      </w:r>
      <w:r w:rsidR="00A74376" w:rsidRPr="004E591C">
        <w:rPr>
          <w:rFonts w:ascii="Palatino Linotype" w:hAnsi="Palatino Linotype" w:cs="Tahoma"/>
          <w:b/>
          <w:bCs/>
          <w:sz w:val="22"/>
          <w:szCs w:val="24"/>
          <w:lang w:val="es-ES"/>
        </w:rPr>
        <w:t>Ampliación del plazo para resolver: </w:t>
      </w:r>
      <w:r w:rsidR="00A74376" w:rsidRPr="004E591C">
        <w:rPr>
          <w:rFonts w:ascii="Palatino Linotype" w:hAnsi="Palatino Linotype" w:cs="Tahoma"/>
          <w:sz w:val="22"/>
          <w:szCs w:val="24"/>
          <w:lang w:val="es-ES"/>
        </w:rPr>
        <w:t xml:space="preserve">El </w:t>
      </w:r>
      <w:r w:rsidR="009B196F">
        <w:rPr>
          <w:rFonts w:ascii="Palatino Linotype" w:hAnsi="Palatino Linotype" w:cs="Tahoma"/>
          <w:sz w:val="22"/>
          <w:szCs w:val="24"/>
          <w:lang w:val="es-ES"/>
        </w:rPr>
        <w:t>veintiuno de enero de dos mil diecinueve</w:t>
      </w:r>
      <w:r w:rsidR="00A74376"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A74376">
        <w:rPr>
          <w:rFonts w:ascii="Palatino Linotype" w:hAnsi="Palatino Linotype" w:cs="Tahoma"/>
          <w:sz w:val="22"/>
          <w:szCs w:val="24"/>
          <w:lang w:val="es-ES"/>
        </w:rPr>
        <w:t>mismo día</w:t>
      </w:r>
      <w:r w:rsidR="00A74376" w:rsidRPr="004E591C">
        <w:rPr>
          <w:rFonts w:ascii="Palatino Linotype" w:hAnsi="Palatino Linotype" w:cs="Tahoma"/>
          <w:sz w:val="22"/>
          <w:szCs w:val="24"/>
          <w:lang w:val="es-ES"/>
        </w:rPr>
        <w:t>.</w:t>
      </w:r>
    </w:p>
    <w:p w14:paraId="1D654EDA" w14:textId="77777777" w:rsidR="00A74376" w:rsidRDefault="00A74376" w:rsidP="00CC66EC">
      <w:pPr>
        <w:spacing w:line="360" w:lineRule="auto"/>
        <w:jc w:val="both"/>
        <w:rPr>
          <w:rFonts w:ascii="Palatino Linotype" w:hAnsi="Palatino Linotype" w:cs="Tahoma"/>
          <w:b/>
          <w:sz w:val="22"/>
          <w:szCs w:val="22"/>
        </w:rPr>
      </w:pPr>
    </w:p>
    <w:p w14:paraId="1D3C95F8" w14:textId="039D580B" w:rsidR="00B41E58" w:rsidRPr="00E4518F" w:rsidRDefault="00A74376" w:rsidP="00CC66EC">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B41E58" w:rsidRPr="00E4518F">
        <w:rPr>
          <w:rFonts w:ascii="Palatino Linotype" w:hAnsi="Palatino Linotype" w:cs="Tahoma"/>
          <w:b/>
          <w:sz w:val="22"/>
          <w:szCs w:val="22"/>
        </w:rPr>
        <w:t>Cierre de instrucción:</w:t>
      </w:r>
      <w:r w:rsidR="00B41E58" w:rsidRPr="00E4518F">
        <w:rPr>
          <w:rFonts w:ascii="Palatino Linotype" w:hAnsi="Palatino Linotype" w:cs="Tahoma"/>
          <w:sz w:val="22"/>
          <w:szCs w:val="22"/>
        </w:rPr>
        <w:t xml:space="preserve"> El </w:t>
      </w:r>
      <w:r w:rsidR="009B196F">
        <w:rPr>
          <w:rFonts w:ascii="Palatino Linotype" w:hAnsi="Palatino Linotype" w:cs="Tahoma"/>
          <w:sz w:val="22"/>
          <w:szCs w:val="22"/>
        </w:rPr>
        <w:t>veinticuatro de enero</w:t>
      </w:r>
      <w:r w:rsidR="00592805" w:rsidRPr="00E4518F">
        <w:rPr>
          <w:rFonts w:ascii="Palatino Linotype" w:hAnsi="Palatino Linotype" w:cs="Tahoma"/>
          <w:sz w:val="22"/>
          <w:szCs w:val="22"/>
        </w:rPr>
        <w:t xml:space="preserve"> </w:t>
      </w:r>
      <w:r w:rsidR="00B41E58" w:rsidRPr="00E4518F">
        <w:rPr>
          <w:rFonts w:ascii="Palatino Linotype" w:hAnsi="Palatino Linotype" w:cs="Tahoma"/>
          <w:sz w:val="22"/>
          <w:szCs w:val="22"/>
        </w:rPr>
        <w:t>de dos mil dieciocho, al no existir diligencias pendientes por desahogar, se emitió el acuerdo por medio del cual se declaró cerrada la instrucción</w:t>
      </w:r>
      <w:r w:rsidR="00460830" w:rsidRPr="00E4518F">
        <w:rPr>
          <w:rFonts w:ascii="Palatino Linotype" w:hAnsi="Palatino Linotype" w:cs="Tahoma"/>
          <w:sz w:val="22"/>
          <w:szCs w:val="22"/>
        </w:rPr>
        <w:t xml:space="preserve"> y</w:t>
      </w:r>
      <w:r w:rsidR="00B41E58" w:rsidRPr="00E4518F">
        <w:rPr>
          <w:rFonts w:ascii="Palatino Linotype" w:hAnsi="Palatino Linotype" w:cs="Tahoma"/>
          <w:sz w:val="22"/>
          <w:szCs w:val="22"/>
        </w:rPr>
        <w:t xml:space="preserve"> el expediente</w:t>
      </w:r>
      <w:r w:rsidR="00460830" w:rsidRPr="00E4518F">
        <w:rPr>
          <w:rFonts w:ascii="Palatino Linotype" w:hAnsi="Palatino Linotype" w:cs="Tahoma"/>
          <w:sz w:val="22"/>
          <w:szCs w:val="22"/>
        </w:rPr>
        <w:t xml:space="preserve"> paso</w:t>
      </w:r>
      <w:r w:rsidR="00B41E58" w:rsidRPr="00E4518F">
        <w:rPr>
          <w:rFonts w:ascii="Palatino Linotype" w:hAnsi="Palatino Linotype" w:cs="Tahoma"/>
          <w:sz w:val="22"/>
          <w:szCs w:val="22"/>
        </w:rPr>
        <w:t xml:space="preserve"> a resolución, en términos de lo dispuesto en los </w:t>
      </w:r>
      <w:r w:rsidR="00B41E58" w:rsidRPr="00E4518F">
        <w:rPr>
          <w:rFonts w:ascii="Palatino Linotype" w:hAnsi="Palatino Linotype" w:cs="Tahoma"/>
          <w:sz w:val="22"/>
          <w:szCs w:val="22"/>
        </w:rPr>
        <w:lastRenderedPageBreak/>
        <w:t>artículos 185, fracciones VI y VIII</w:t>
      </w:r>
      <w:r w:rsidR="00956C84">
        <w:rPr>
          <w:rFonts w:ascii="Palatino Linotype" w:hAnsi="Palatino Linotype" w:cs="Tahoma"/>
          <w:sz w:val="22"/>
          <w:szCs w:val="22"/>
        </w:rPr>
        <w:t>,</w:t>
      </w:r>
      <w:r w:rsidR="00B41E58" w:rsidRPr="00E4518F">
        <w:rPr>
          <w:rFonts w:ascii="Palatino Linotype" w:hAnsi="Palatino Linotype" w:cs="Tahoma"/>
          <w:sz w:val="22"/>
          <w:szCs w:val="22"/>
        </w:rPr>
        <w:t xml:space="preserve"> de la Ley de Transparencia y Acceso a la Información Pública del Estado de México y Municipios, mismo que fue notificado a las partes el mismo día, a través del Sistema de Acceso a la Información Mexiquense</w:t>
      </w:r>
      <w:r w:rsidR="002D6C50">
        <w:rPr>
          <w:rFonts w:ascii="Palatino Linotype" w:hAnsi="Palatino Linotype" w:cs="Tahoma"/>
          <w:sz w:val="22"/>
          <w:szCs w:val="22"/>
        </w:rPr>
        <w:t xml:space="preserve"> </w:t>
      </w:r>
      <w:r w:rsidR="00951636">
        <w:rPr>
          <w:rFonts w:ascii="Palatino Linotype" w:hAnsi="Palatino Linotype" w:cs="Tahoma"/>
          <w:sz w:val="22"/>
          <w:szCs w:val="22"/>
        </w:rPr>
        <w:t>(SAIMEX)</w:t>
      </w:r>
      <w:r w:rsidR="00B41E58" w:rsidRPr="00E4518F">
        <w:rPr>
          <w:rFonts w:ascii="Palatino Linotype" w:hAnsi="Palatino Linotype" w:cs="Tahoma"/>
          <w:sz w:val="22"/>
          <w:szCs w:val="22"/>
        </w:rPr>
        <w:t>.</w:t>
      </w:r>
    </w:p>
    <w:p w14:paraId="385211FA" w14:textId="77777777" w:rsidR="00B41E58" w:rsidRPr="00E4518F" w:rsidRDefault="00B41E58" w:rsidP="00CC66EC">
      <w:pPr>
        <w:spacing w:line="360" w:lineRule="auto"/>
        <w:jc w:val="both"/>
        <w:rPr>
          <w:rFonts w:ascii="Palatino Linotype" w:hAnsi="Palatino Linotype" w:cs="Tahoma"/>
          <w:b/>
          <w:sz w:val="22"/>
          <w:szCs w:val="22"/>
        </w:rPr>
      </w:pPr>
    </w:p>
    <w:p w14:paraId="3F887737" w14:textId="6B74F83E" w:rsidR="00B41E58" w:rsidRPr="00E4518F" w:rsidRDefault="00B41E58" w:rsidP="00CC66EC">
      <w:pPr>
        <w:spacing w:line="360" w:lineRule="auto"/>
        <w:jc w:val="both"/>
        <w:rPr>
          <w:rFonts w:ascii="Palatino Linotype" w:hAnsi="Palatino Linotype" w:cs="Tahoma"/>
          <w:color w:val="000000"/>
          <w:sz w:val="22"/>
          <w:szCs w:val="22"/>
        </w:rPr>
      </w:pPr>
      <w:r w:rsidRPr="00E4518F">
        <w:rPr>
          <w:rFonts w:ascii="Palatino Linotype" w:hAnsi="Palatino Linotype" w:cs="Tahoma"/>
          <w:color w:val="000000"/>
          <w:sz w:val="22"/>
          <w:szCs w:val="22"/>
        </w:rPr>
        <w:t xml:space="preserve">En razón de que fue debidamente sustanciado el expediente electrónico y no existe diligencia pendiente por desahogar, se emite la resolución que conforme a Derecho proceda, </w:t>
      </w:r>
      <w:r w:rsidR="00173693" w:rsidRPr="00E4518F">
        <w:rPr>
          <w:rFonts w:ascii="Palatino Linotype" w:hAnsi="Palatino Linotype" w:cs="Tahoma"/>
          <w:color w:val="000000"/>
          <w:sz w:val="22"/>
          <w:szCs w:val="22"/>
        </w:rPr>
        <w:t>de acuerdo con</w:t>
      </w:r>
      <w:r w:rsidRPr="00E4518F">
        <w:rPr>
          <w:rFonts w:ascii="Palatino Linotype" w:hAnsi="Palatino Linotype" w:cs="Tahoma"/>
          <w:color w:val="000000"/>
          <w:sz w:val="22"/>
          <w:szCs w:val="22"/>
        </w:rPr>
        <w:t xml:space="preserve"> l</w:t>
      </w:r>
      <w:r w:rsidR="0086521F" w:rsidRPr="00E4518F">
        <w:rPr>
          <w:rFonts w:ascii="Palatino Linotype" w:hAnsi="Palatino Linotype" w:cs="Tahoma"/>
          <w:color w:val="000000"/>
          <w:sz w:val="22"/>
          <w:szCs w:val="22"/>
        </w:rPr>
        <w:t>o</w:t>
      </w:r>
      <w:r w:rsidRPr="00E4518F">
        <w:rPr>
          <w:rFonts w:ascii="Palatino Linotype" w:hAnsi="Palatino Linotype" w:cs="Tahoma"/>
          <w:color w:val="000000"/>
          <w:sz w:val="22"/>
          <w:szCs w:val="22"/>
        </w:rPr>
        <w:t xml:space="preserve">s siguientes: </w:t>
      </w:r>
    </w:p>
    <w:p w14:paraId="71525930" w14:textId="77777777" w:rsidR="00820F86" w:rsidRPr="00E4518F" w:rsidRDefault="00820F86" w:rsidP="00CC66EC">
      <w:pPr>
        <w:spacing w:line="360" w:lineRule="auto"/>
        <w:jc w:val="both"/>
        <w:rPr>
          <w:rFonts w:ascii="Palatino Linotype" w:hAnsi="Palatino Linotype" w:cs="Tahoma"/>
          <w:b/>
          <w:sz w:val="22"/>
          <w:szCs w:val="22"/>
        </w:rPr>
      </w:pPr>
    </w:p>
    <w:p w14:paraId="7F3468F7" w14:textId="77777777" w:rsidR="004F2D88" w:rsidRPr="00E4518F" w:rsidRDefault="009A620E" w:rsidP="00CC66EC">
      <w:pPr>
        <w:spacing w:line="360" w:lineRule="auto"/>
        <w:jc w:val="center"/>
        <w:rPr>
          <w:rFonts w:ascii="Palatino Linotype" w:hAnsi="Palatino Linotype" w:cs="Tahoma"/>
          <w:b/>
          <w:sz w:val="22"/>
          <w:szCs w:val="22"/>
          <w:lang w:val="es-ES"/>
        </w:rPr>
      </w:pPr>
      <w:r w:rsidRPr="00E4518F">
        <w:rPr>
          <w:rFonts w:ascii="Palatino Linotype" w:hAnsi="Palatino Linotype" w:cs="Tahoma"/>
          <w:b/>
          <w:sz w:val="22"/>
          <w:szCs w:val="22"/>
          <w:lang w:val="es-ES"/>
        </w:rPr>
        <w:t>CONSIDERANDOS</w:t>
      </w:r>
      <w:r w:rsidR="004F2D88" w:rsidRPr="00E4518F">
        <w:rPr>
          <w:rFonts w:ascii="Palatino Linotype" w:hAnsi="Palatino Linotype" w:cs="Tahoma"/>
          <w:b/>
          <w:sz w:val="22"/>
          <w:szCs w:val="22"/>
          <w:lang w:val="es-ES"/>
        </w:rPr>
        <w:t>:</w:t>
      </w:r>
    </w:p>
    <w:p w14:paraId="18ABC68A" w14:textId="77777777" w:rsidR="004F2D88" w:rsidRPr="00E4518F" w:rsidRDefault="004F2D88" w:rsidP="00CC66EC">
      <w:pPr>
        <w:spacing w:line="360" w:lineRule="auto"/>
        <w:jc w:val="both"/>
        <w:rPr>
          <w:rFonts w:ascii="Palatino Linotype" w:hAnsi="Palatino Linotype" w:cs="Tahoma"/>
          <w:b/>
          <w:sz w:val="22"/>
          <w:szCs w:val="22"/>
          <w:lang w:val="es-ES"/>
        </w:rPr>
      </w:pPr>
    </w:p>
    <w:p w14:paraId="10EC6AE3" w14:textId="77777777" w:rsidR="00B64641" w:rsidRPr="00E4518F" w:rsidRDefault="00B64641" w:rsidP="00CC66EC">
      <w:pPr>
        <w:autoSpaceDE w:val="0"/>
        <w:autoSpaceDN w:val="0"/>
        <w:adjustRightInd w:val="0"/>
        <w:spacing w:line="360" w:lineRule="auto"/>
        <w:jc w:val="both"/>
        <w:rPr>
          <w:rFonts w:ascii="Palatino Linotype" w:hAnsi="Palatino Linotype" w:cs="Tahoma"/>
          <w:b/>
          <w:sz w:val="22"/>
          <w:szCs w:val="22"/>
          <w:lang w:val="es-ES"/>
        </w:rPr>
      </w:pPr>
      <w:r w:rsidRPr="00E4518F">
        <w:rPr>
          <w:rFonts w:ascii="Palatino Linotype" w:eastAsia="Calibri" w:hAnsi="Palatino Linotype" w:cs="Tahoma"/>
          <w:b/>
          <w:color w:val="000000"/>
          <w:sz w:val="22"/>
          <w:szCs w:val="22"/>
          <w:lang w:val="es-ES" w:eastAsia="es-MX"/>
        </w:rPr>
        <w:t>PRIMER</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Competencia.</w:t>
      </w:r>
    </w:p>
    <w:p w14:paraId="58CD3645" w14:textId="77777777" w:rsidR="00B727C5" w:rsidRPr="00E4518F" w:rsidRDefault="00B727C5" w:rsidP="00CC66EC">
      <w:pPr>
        <w:autoSpaceDE w:val="0"/>
        <w:autoSpaceDN w:val="0"/>
        <w:adjustRightInd w:val="0"/>
        <w:spacing w:line="360" w:lineRule="auto"/>
        <w:jc w:val="both"/>
        <w:rPr>
          <w:rFonts w:ascii="Palatino Linotype" w:hAnsi="Palatino Linotype" w:cs="Tahoma"/>
          <w:sz w:val="22"/>
          <w:szCs w:val="22"/>
          <w:lang w:val="es-ES"/>
        </w:rPr>
      </w:pPr>
    </w:p>
    <w:p w14:paraId="53A7CA8F" w14:textId="77777777" w:rsidR="00436FD3" w:rsidRPr="00E4518F" w:rsidRDefault="00436FD3" w:rsidP="00CC66EC">
      <w:pPr>
        <w:spacing w:line="360" w:lineRule="auto"/>
        <w:jc w:val="both"/>
        <w:rPr>
          <w:rFonts w:ascii="Palatino Linotype" w:hAnsi="Palatino Linotype" w:cs="Tahoma"/>
          <w:sz w:val="22"/>
          <w:szCs w:val="22"/>
          <w:shd w:val="clear" w:color="auto" w:fill="FFFFFF"/>
        </w:rPr>
      </w:pPr>
      <w:r w:rsidRPr="00E4518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apartado A</w:t>
      </w:r>
      <w:r w:rsidR="0086521F"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xml:space="preserve"> de la Constitución Política de los Estados Unidos Mexicanos; 5</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518F">
        <w:rPr>
          <w:rStyle w:val="apple-converted-space"/>
          <w:rFonts w:ascii="Palatino Linotype" w:hAnsi="Palatino Linotype" w:cs="Tahoma"/>
          <w:sz w:val="22"/>
          <w:szCs w:val="22"/>
          <w:shd w:val="clear" w:color="auto" w:fill="FFFFFF"/>
        </w:rPr>
        <w:t xml:space="preserve"> 7°, </w:t>
      </w:r>
      <w:r w:rsidRPr="00E4518F">
        <w:rPr>
          <w:rFonts w:ascii="Palatino Linotype" w:hAnsi="Palatino Linotype" w:cs="Tahoma"/>
          <w:sz w:val="22"/>
          <w:szCs w:val="22"/>
        </w:rPr>
        <w:t>9</w:t>
      </w:r>
      <w:r w:rsidR="0093042C" w:rsidRPr="00E4518F">
        <w:rPr>
          <w:rFonts w:ascii="Palatino Linotype" w:hAnsi="Palatino Linotype" w:cs="Tahoma"/>
          <w:sz w:val="22"/>
          <w:szCs w:val="22"/>
        </w:rPr>
        <w:t>°</w:t>
      </w:r>
      <w:r w:rsidRPr="00E4518F">
        <w:rPr>
          <w:rFonts w:ascii="Palatino Linotype" w:hAnsi="Palatino Linotype" w:cs="Tahoma"/>
          <w:sz w:val="22"/>
          <w:szCs w:val="22"/>
        </w:rPr>
        <w:t xml:space="preserve">, fracciones I y XXIV y 11 </w:t>
      </w:r>
      <w:r w:rsidRPr="00E4518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712B374" w14:textId="77777777" w:rsidR="00B727C5" w:rsidRPr="00E4518F" w:rsidRDefault="00B727C5" w:rsidP="00CC66EC">
      <w:pPr>
        <w:spacing w:line="360" w:lineRule="auto"/>
        <w:jc w:val="both"/>
        <w:rPr>
          <w:rFonts w:ascii="Palatino Linotype" w:eastAsia="Calibri" w:hAnsi="Palatino Linotype" w:cs="Tahoma"/>
          <w:bCs/>
          <w:color w:val="000000"/>
          <w:sz w:val="22"/>
          <w:szCs w:val="22"/>
          <w:lang w:val="es-ES" w:eastAsia="es-ES_tradnl"/>
        </w:rPr>
      </w:pPr>
    </w:p>
    <w:p w14:paraId="537B4B5F" w14:textId="77777777" w:rsidR="00436FD3" w:rsidRPr="00E4518F" w:rsidRDefault="004F2D88" w:rsidP="00CC66EC">
      <w:pPr>
        <w:autoSpaceDE w:val="0"/>
        <w:autoSpaceDN w:val="0"/>
        <w:adjustRightInd w:val="0"/>
        <w:spacing w:line="360" w:lineRule="auto"/>
        <w:jc w:val="both"/>
        <w:rPr>
          <w:rFonts w:ascii="Palatino Linotype" w:hAnsi="Palatino Linotype" w:cs="Tahoma"/>
          <w:sz w:val="22"/>
          <w:szCs w:val="22"/>
          <w:lang w:val="es-ES"/>
        </w:rPr>
      </w:pPr>
      <w:r w:rsidRPr="00E4518F">
        <w:rPr>
          <w:rFonts w:ascii="Palatino Linotype" w:eastAsia="Calibri" w:hAnsi="Palatino Linotype" w:cs="Tahoma"/>
          <w:b/>
          <w:color w:val="000000"/>
          <w:sz w:val="22"/>
          <w:szCs w:val="22"/>
          <w:lang w:val="es-ES" w:eastAsia="es-MX"/>
        </w:rPr>
        <w:lastRenderedPageBreak/>
        <w:t>SEGUND</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Metodología de estudio.</w:t>
      </w:r>
    </w:p>
    <w:p w14:paraId="3C075A5F" w14:textId="77777777" w:rsidR="00303CAD" w:rsidRPr="00E4518F" w:rsidRDefault="00303CAD" w:rsidP="00CC66EC">
      <w:pPr>
        <w:autoSpaceDE w:val="0"/>
        <w:autoSpaceDN w:val="0"/>
        <w:adjustRightInd w:val="0"/>
        <w:spacing w:line="360" w:lineRule="auto"/>
        <w:jc w:val="both"/>
        <w:rPr>
          <w:rFonts w:ascii="Palatino Linotype" w:hAnsi="Palatino Linotype" w:cs="Tahoma"/>
          <w:sz w:val="22"/>
          <w:szCs w:val="22"/>
          <w:lang w:val="es-ES"/>
        </w:rPr>
      </w:pPr>
    </w:p>
    <w:p w14:paraId="0122C6B5" w14:textId="77777777" w:rsidR="004F2D88" w:rsidRPr="00E4518F" w:rsidRDefault="004F2D88" w:rsidP="00CC66EC">
      <w:pPr>
        <w:autoSpaceDE w:val="0"/>
        <w:autoSpaceDN w:val="0"/>
        <w:adjustRightInd w:val="0"/>
        <w:spacing w:line="360" w:lineRule="auto"/>
        <w:jc w:val="both"/>
        <w:rPr>
          <w:rFonts w:ascii="Palatino Linotype" w:hAnsi="Palatino Linotype" w:cs="Tahoma"/>
          <w:sz w:val="22"/>
          <w:szCs w:val="22"/>
        </w:rPr>
      </w:pPr>
      <w:r w:rsidRPr="00E4518F">
        <w:rPr>
          <w:rFonts w:ascii="Palatino Linotype" w:hAnsi="Palatino Linotype" w:cs="Tahoma"/>
          <w:sz w:val="22"/>
          <w:szCs w:val="22"/>
          <w:lang w:val="es-ES"/>
        </w:rPr>
        <w:t>De las constancias que forma parte de</w:t>
      </w:r>
      <w:r w:rsidR="008E1829" w:rsidRPr="00E4518F">
        <w:rPr>
          <w:rFonts w:ascii="Palatino Linotype" w:hAnsi="Palatino Linotype" w:cs="Tahoma"/>
          <w:sz w:val="22"/>
          <w:szCs w:val="22"/>
          <w:lang w:val="es-ES"/>
        </w:rPr>
        <w:t>l R</w:t>
      </w:r>
      <w:r w:rsidRPr="00E4518F">
        <w:rPr>
          <w:rFonts w:ascii="Palatino Linotype" w:hAnsi="Palatino Linotype" w:cs="Tahoma"/>
          <w:sz w:val="22"/>
          <w:szCs w:val="22"/>
          <w:lang w:val="es-ES"/>
        </w:rPr>
        <w:t>ecurso</w:t>
      </w:r>
      <w:r w:rsidR="008E1829" w:rsidRPr="00E4518F">
        <w:rPr>
          <w:rFonts w:ascii="Palatino Linotype" w:hAnsi="Palatino Linotype" w:cs="Tahoma"/>
          <w:sz w:val="22"/>
          <w:szCs w:val="22"/>
          <w:lang w:val="es-ES"/>
        </w:rPr>
        <w:t xml:space="preserve"> de Revisión que se analiza,</w:t>
      </w:r>
      <w:r w:rsidRPr="00E4518F">
        <w:rPr>
          <w:rFonts w:ascii="Palatino Linotype" w:hAnsi="Palatino Linotype" w:cs="Tahoma"/>
          <w:sz w:val="22"/>
          <w:szCs w:val="22"/>
          <w:lang w:val="es-ES"/>
        </w:rPr>
        <w:t xml:space="preserve"> se advierte que previo al estudio del fondo de la </w:t>
      </w:r>
      <w:r w:rsidRPr="00E4518F">
        <w:rPr>
          <w:rFonts w:ascii="Palatino Linotype" w:hAnsi="Palatino Linotype" w:cs="Tahoma"/>
          <w:i/>
          <w:sz w:val="22"/>
          <w:szCs w:val="22"/>
          <w:lang w:val="es-ES"/>
        </w:rPr>
        <w:t>litis</w:t>
      </w:r>
      <w:r w:rsidRPr="00E4518F">
        <w:rPr>
          <w:rFonts w:ascii="Palatino Linotype" w:hAnsi="Palatino Linotype" w:cs="Tahoma"/>
          <w:sz w:val="22"/>
          <w:szCs w:val="22"/>
          <w:lang w:val="es-ES"/>
        </w:rPr>
        <w:t>, es necesario estudiar las causales de improcedencia y sobreseimiento que se adviertan, para determinar lo que en Derecho proceda.</w:t>
      </w:r>
    </w:p>
    <w:p w14:paraId="2E2DB937" w14:textId="77777777" w:rsidR="004F2D88" w:rsidRPr="00E4518F" w:rsidRDefault="004F2D88" w:rsidP="00CC66EC">
      <w:pPr>
        <w:autoSpaceDE w:val="0"/>
        <w:autoSpaceDN w:val="0"/>
        <w:adjustRightInd w:val="0"/>
        <w:spacing w:line="360" w:lineRule="auto"/>
        <w:jc w:val="both"/>
        <w:rPr>
          <w:rFonts w:ascii="Palatino Linotype" w:hAnsi="Palatino Linotype" w:cs="Tahoma"/>
          <w:sz w:val="22"/>
          <w:szCs w:val="22"/>
          <w:lang w:val="es-ES"/>
        </w:rPr>
      </w:pPr>
    </w:p>
    <w:p w14:paraId="2B2733F2" w14:textId="77777777" w:rsidR="00D90C9D" w:rsidRPr="00E4518F" w:rsidRDefault="004F2D88" w:rsidP="00CC66E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4518F">
        <w:rPr>
          <w:rFonts w:ascii="Palatino Linotype" w:eastAsia="Calibri" w:hAnsi="Palatino Linotype" w:cs="Tahoma"/>
          <w:b/>
          <w:color w:val="000000"/>
          <w:sz w:val="22"/>
          <w:szCs w:val="22"/>
          <w:lang w:val="es-ES" w:eastAsia="es-MX"/>
        </w:rPr>
        <w:t>Causales de improcedencia.</w:t>
      </w:r>
    </w:p>
    <w:p w14:paraId="1A009C67" w14:textId="77777777" w:rsidR="00D90C9D" w:rsidRPr="00E4518F" w:rsidRDefault="00D90C9D" w:rsidP="00CC66E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7CD035" w14:textId="77777777" w:rsidR="0093042C" w:rsidRPr="00E4518F" w:rsidRDefault="0093042C"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4C4699" w14:textId="77777777" w:rsidR="00EE5F2E" w:rsidRPr="00E4518F" w:rsidRDefault="00EE5F2E" w:rsidP="00CC66E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3D4CC4" w14:textId="77777777" w:rsidR="003A7DE9" w:rsidRPr="00E4518F" w:rsidRDefault="003A7DE9"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En el presente caso, </w:t>
      </w:r>
      <w:r w:rsidRPr="00E4518F">
        <w:rPr>
          <w:rFonts w:ascii="Palatino Linotype" w:hAnsi="Palatino Linotype" w:cs="Tahoma"/>
          <w:b/>
          <w:bCs/>
          <w:sz w:val="22"/>
          <w:szCs w:val="22"/>
        </w:rPr>
        <w:t>no se actualiza ninguna de las causales de improcedencia</w:t>
      </w:r>
      <w:r w:rsidRPr="00E4518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4AB6A9A9" w14:textId="77777777" w:rsidR="003A7DE9" w:rsidRPr="00E4518F" w:rsidRDefault="003A7DE9" w:rsidP="00CC66EC">
      <w:pPr>
        <w:spacing w:line="360" w:lineRule="auto"/>
        <w:jc w:val="both"/>
        <w:rPr>
          <w:rFonts w:ascii="Palatino Linotype" w:hAnsi="Palatino Linotype" w:cs="Tahoma"/>
          <w:sz w:val="22"/>
          <w:szCs w:val="22"/>
        </w:rPr>
      </w:pPr>
    </w:p>
    <w:p w14:paraId="5C97838C" w14:textId="7F7A861E" w:rsidR="003A7DE9" w:rsidRPr="00E4518F" w:rsidRDefault="003A7DE9" w:rsidP="00CC66EC">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rPr>
        <w:lastRenderedPageBreak/>
        <w:t>Asimismo, </w:t>
      </w:r>
      <w:r w:rsidRPr="00E4518F">
        <w:rPr>
          <w:rFonts w:ascii="Palatino Linotype" w:hAnsi="Palatino Linotype" w:cs="Tahoma"/>
          <w:sz w:val="22"/>
          <w:szCs w:val="22"/>
          <w:lang w:val="es-ES"/>
        </w:rPr>
        <w:t>se actualiza la causal de procedencia del recurso de revisión señalad</w:t>
      </w:r>
      <w:r w:rsidR="00C10DA1">
        <w:rPr>
          <w:rFonts w:ascii="Palatino Linotype" w:hAnsi="Palatino Linotype" w:cs="Tahoma"/>
          <w:sz w:val="22"/>
          <w:szCs w:val="22"/>
          <w:lang w:val="es-ES"/>
        </w:rPr>
        <w:t xml:space="preserve">a en el artículo 179, fracción </w:t>
      </w:r>
      <w:r w:rsidR="009B196F">
        <w:rPr>
          <w:rFonts w:ascii="Palatino Linotype" w:hAnsi="Palatino Linotype" w:cs="Tahoma"/>
          <w:sz w:val="22"/>
          <w:szCs w:val="22"/>
          <w:lang w:val="es-ES"/>
        </w:rPr>
        <w:t>III</w:t>
      </w:r>
      <w:r w:rsidRPr="00E4518F">
        <w:rPr>
          <w:rFonts w:ascii="Palatino Linotype" w:hAnsi="Palatino Linotype" w:cs="Tahoma"/>
          <w:sz w:val="22"/>
          <w:szCs w:val="22"/>
          <w:lang w:val="es-ES"/>
        </w:rPr>
        <w:t xml:space="preserve">, de la Ley en cita, pues la parte Recurrente se inconformó </w:t>
      </w:r>
      <w:r w:rsidR="00D73721" w:rsidRPr="00E4518F">
        <w:rPr>
          <w:rFonts w:ascii="Palatino Linotype" w:hAnsi="Palatino Linotype" w:cs="Tahoma"/>
          <w:sz w:val="22"/>
          <w:szCs w:val="22"/>
          <w:lang w:val="es-ES"/>
        </w:rPr>
        <w:t xml:space="preserve">la </w:t>
      </w:r>
      <w:r w:rsidR="00C10DA1">
        <w:rPr>
          <w:rFonts w:ascii="Palatino Linotype" w:hAnsi="Palatino Linotype" w:cs="Tahoma"/>
          <w:sz w:val="22"/>
          <w:szCs w:val="22"/>
          <w:lang w:val="es-ES"/>
        </w:rPr>
        <w:t>declaración de inexistencia de la información requerida.</w:t>
      </w:r>
    </w:p>
    <w:p w14:paraId="3B9E8134" w14:textId="77777777" w:rsidR="003A7DE9" w:rsidRPr="00E4518F" w:rsidRDefault="003A7DE9" w:rsidP="00CC66EC">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lang w:val="es-ES"/>
        </w:rPr>
        <w:t> </w:t>
      </w:r>
    </w:p>
    <w:p w14:paraId="4ACF7E95" w14:textId="77777777" w:rsidR="003A7DE9" w:rsidRPr="00E4518F" w:rsidRDefault="003A7DE9" w:rsidP="00CC66EC">
      <w:pPr>
        <w:spacing w:line="360" w:lineRule="auto"/>
        <w:jc w:val="both"/>
        <w:rPr>
          <w:rFonts w:ascii="Palatino Linotype" w:hAnsi="Palatino Linotype" w:cs="Tahoma"/>
          <w:sz w:val="22"/>
          <w:szCs w:val="22"/>
        </w:rPr>
      </w:pPr>
      <w:r w:rsidRPr="00E4518F">
        <w:rPr>
          <w:rFonts w:ascii="Palatino Linotype" w:hAnsi="Palatino Linotype" w:cs="Tahoma"/>
          <w:b/>
          <w:bCs/>
          <w:sz w:val="22"/>
          <w:szCs w:val="22"/>
        </w:rPr>
        <w:t>Causales de sobreseimiento.</w:t>
      </w:r>
    </w:p>
    <w:p w14:paraId="1537FA0A" w14:textId="77777777" w:rsidR="003A7DE9" w:rsidRPr="00E4518F" w:rsidRDefault="003A7DE9"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 </w:t>
      </w:r>
      <w:r w:rsidR="00D73721" w:rsidRPr="00E4518F">
        <w:rPr>
          <w:rFonts w:ascii="Palatino Linotype" w:hAnsi="Palatino Linotype" w:cs="Tahoma"/>
          <w:sz w:val="22"/>
          <w:szCs w:val="22"/>
        </w:rPr>
        <w:t xml:space="preserve"> </w:t>
      </w:r>
    </w:p>
    <w:p w14:paraId="1F80184B" w14:textId="77777777" w:rsidR="003A7DE9" w:rsidRPr="00E4518F" w:rsidRDefault="003A7DE9"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ser de previo y especial pronunciamiento, este Instituto analiza si se actualiza alguna causal de sobreseimiento.</w:t>
      </w:r>
    </w:p>
    <w:p w14:paraId="1030B3BD" w14:textId="77777777" w:rsidR="00EC39E0" w:rsidRPr="00E4518F" w:rsidRDefault="00EC39E0" w:rsidP="00CC66EC">
      <w:pPr>
        <w:spacing w:line="360" w:lineRule="auto"/>
        <w:jc w:val="both"/>
        <w:rPr>
          <w:rFonts w:ascii="Palatino Linotype" w:hAnsi="Palatino Linotype" w:cs="Tahoma"/>
          <w:sz w:val="22"/>
          <w:szCs w:val="22"/>
        </w:rPr>
      </w:pPr>
    </w:p>
    <w:p w14:paraId="376C1FDE" w14:textId="77777777" w:rsidR="003A7DE9" w:rsidRPr="00E4518F" w:rsidRDefault="003A7DE9"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se haya desistido del recurso, haya fallecido, sobreviniera alguna causal de improcedencia, que el Sujeto Obligado hubiese modificado o revocado el acto impugnado o bien, haya quedado sin materia.</w:t>
      </w:r>
    </w:p>
    <w:p w14:paraId="4A0F690E" w14:textId="77777777" w:rsidR="003A7DE9" w:rsidRPr="00E4518F" w:rsidRDefault="003A7DE9" w:rsidP="00CC66EC">
      <w:pPr>
        <w:spacing w:line="360" w:lineRule="auto"/>
        <w:jc w:val="both"/>
        <w:rPr>
          <w:rFonts w:ascii="Palatino Linotype" w:hAnsi="Palatino Linotype" w:cs="Tahoma"/>
          <w:sz w:val="22"/>
          <w:szCs w:val="22"/>
          <w:lang w:val="es-ES"/>
        </w:rPr>
      </w:pPr>
    </w:p>
    <w:p w14:paraId="4C3E1D05" w14:textId="77777777" w:rsidR="003A7DE9" w:rsidRPr="00E4518F" w:rsidRDefault="003A7DE9" w:rsidP="00CC66EC">
      <w:pPr>
        <w:spacing w:line="360" w:lineRule="auto"/>
        <w:jc w:val="both"/>
        <w:rPr>
          <w:rFonts w:ascii="Palatino Linotype" w:hAnsi="Palatino Linotype" w:cs="Tahoma"/>
          <w:sz w:val="22"/>
          <w:szCs w:val="22"/>
          <w:lang w:val="es-ES"/>
        </w:rPr>
      </w:pPr>
      <w:r w:rsidRPr="00E4518F">
        <w:rPr>
          <w:rFonts w:ascii="Palatino Linotype" w:hAnsi="Palatino Linotype" w:cs="Tahoma"/>
          <w:bCs/>
          <w:sz w:val="22"/>
          <w:szCs w:val="22"/>
          <w:lang w:val="es-ES"/>
        </w:rPr>
        <w:t xml:space="preserve">Por tales motivos, </w:t>
      </w:r>
      <w:r w:rsidRPr="00E4518F">
        <w:rPr>
          <w:rFonts w:ascii="Palatino Linotype" w:hAnsi="Palatino Linotype" w:cs="Tahoma"/>
          <w:sz w:val="22"/>
          <w:szCs w:val="22"/>
          <w:lang w:val="es-ES"/>
        </w:rPr>
        <w:t xml:space="preserve">se considera procedente entrar al fondo del presente asunto. </w:t>
      </w:r>
    </w:p>
    <w:p w14:paraId="05EC27FB" w14:textId="77777777" w:rsidR="003A7DE9" w:rsidRDefault="003A7DE9" w:rsidP="00CC66EC">
      <w:pPr>
        <w:tabs>
          <w:tab w:val="left" w:pos="4962"/>
        </w:tabs>
        <w:spacing w:line="360" w:lineRule="auto"/>
        <w:jc w:val="both"/>
        <w:rPr>
          <w:rFonts w:ascii="Palatino Linotype" w:eastAsia="Calibri" w:hAnsi="Palatino Linotype" w:cs="Tahoma"/>
          <w:b/>
          <w:iCs/>
          <w:sz w:val="22"/>
          <w:szCs w:val="22"/>
          <w:lang w:val="es-ES" w:eastAsia="es-ES_tradnl"/>
        </w:rPr>
      </w:pPr>
    </w:p>
    <w:p w14:paraId="4FC66F85" w14:textId="77777777" w:rsidR="0025469C" w:rsidRPr="00E4518F" w:rsidRDefault="00F02171" w:rsidP="00CC66EC">
      <w:pPr>
        <w:tabs>
          <w:tab w:val="left" w:pos="4962"/>
        </w:tabs>
        <w:spacing w:line="360" w:lineRule="auto"/>
        <w:jc w:val="both"/>
        <w:rPr>
          <w:rFonts w:ascii="Palatino Linotype" w:eastAsia="Calibri" w:hAnsi="Palatino Linotype" w:cs="Tahoma"/>
          <w:b/>
          <w:iCs/>
          <w:sz w:val="22"/>
          <w:szCs w:val="22"/>
          <w:lang w:val="es-ES" w:eastAsia="es-ES_tradnl"/>
        </w:rPr>
      </w:pPr>
      <w:r w:rsidRPr="00E4518F">
        <w:rPr>
          <w:rFonts w:ascii="Palatino Linotype" w:eastAsia="Calibri" w:hAnsi="Palatino Linotype" w:cs="Tahoma"/>
          <w:b/>
          <w:iCs/>
          <w:sz w:val="22"/>
          <w:szCs w:val="22"/>
          <w:lang w:val="es-ES" w:eastAsia="es-ES_tradnl"/>
        </w:rPr>
        <w:t>TERCER</w:t>
      </w:r>
      <w:r w:rsidR="002241A6" w:rsidRPr="00E4518F">
        <w:rPr>
          <w:rFonts w:ascii="Palatino Linotype" w:eastAsia="Calibri" w:hAnsi="Palatino Linotype" w:cs="Tahoma"/>
          <w:b/>
          <w:iCs/>
          <w:sz w:val="22"/>
          <w:szCs w:val="22"/>
          <w:lang w:val="es-ES" w:eastAsia="es-ES_tradnl"/>
        </w:rPr>
        <w:t>O</w:t>
      </w:r>
      <w:r w:rsidRPr="00E4518F">
        <w:rPr>
          <w:rFonts w:ascii="Palatino Linotype" w:eastAsia="Calibri" w:hAnsi="Palatino Linotype" w:cs="Tahoma"/>
          <w:b/>
          <w:iCs/>
          <w:sz w:val="22"/>
          <w:szCs w:val="22"/>
          <w:lang w:val="es-ES" w:eastAsia="es-ES_tradnl"/>
        </w:rPr>
        <w:t xml:space="preserve">. </w:t>
      </w:r>
      <w:r w:rsidR="0025469C" w:rsidRPr="00E4518F">
        <w:rPr>
          <w:rFonts w:ascii="Palatino Linotype" w:eastAsia="Calibri" w:hAnsi="Palatino Linotype" w:cs="Tahoma"/>
          <w:b/>
          <w:iCs/>
          <w:sz w:val="22"/>
          <w:szCs w:val="22"/>
          <w:lang w:val="es-ES" w:eastAsia="es-ES_tradnl"/>
        </w:rPr>
        <w:t xml:space="preserve">Determinación </w:t>
      </w:r>
      <w:r w:rsidR="009617D3" w:rsidRPr="00E4518F">
        <w:rPr>
          <w:rFonts w:ascii="Palatino Linotype" w:eastAsia="Calibri" w:hAnsi="Palatino Linotype" w:cs="Tahoma"/>
          <w:b/>
          <w:iCs/>
          <w:sz w:val="22"/>
          <w:szCs w:val="22"/>
          <w:lang w:val="es-ES" w:eastAsia="es-ES_tradnl"/>
        </w:rPr>
        <w:t xml:space="preserve">de la </w:t>
      </w:r>
      <w:r w:rsidR="00CF4012" w:rsidRPr="00E4518F">
        <w:rPr>
          <w:rFonts w:ascii="Palatino Linotype" w:eastAsia="Calibri" w:hAnsi="Palatino Linotype" w:cs="Tahoma"/>
          <w:b/>
          <w:iCs/>
          <w:sz w:val="22"/>
          <w:szCs w:val="22"/>
          <w:lang w:val="es-ES" w:eastAsia="es-ES_tradnl"/>
        </w:rPr>
        <w:t>Controversia</w:t>
      </w:r>
      <w:r w:rsidRPr="00E4518F">
        <w:rPr>
          <w:rFonts w:ascii="Palatino Linotype" w:eastAsia="Calibri" w:hAnsi="Palatino Linotype" w:cs="Tahoma"/>
          <w:b/>
          <w:iCs/>
          <w:sz w:val="22"/>
          <w:szCs w:val="22"/>
          <w:lang w:val="es-ES" w:eastAsia="es-ES_tradnl"/>
        </w:rPr>
        <w:t xml:space="preserve">. </w:t>
      </w:r>
    </w:p>
    <w:p w14:paraId="0AB12905" w14:textId="77777777" w:rsidR="00D91BA4" w:rsidRPr="00E4518F" w:rsidRDefault="00D91BA4" w:rsidP="00CC66EC">
      <w:pPr>
        <w:tabs>
          <w:tab w:val="left" w:pos="4962"/>
        </w:tabs>
        <w:spacing w:line="360" w:lineRule="auto"/>
        <w:jc w:val="both"/>
        <w:rPr>
          <w:rFonts w:ascii="Palatino Linotype" w:eastAsia="Calibri" w:hAnsi="Palatino Linotype" w:cs="Tahoma"/>
          <w:iCs/>
          <w:sz w:val="22"/>
          <w:szCs w:val="22"/>
          <w:lang w:val="es-ES" w:eastAsia="es-ES_tradnl"/>
        </w:rPr>
      </w:pPr>
    </w:p>
    <w:p w14:paraId="497F6747" w14:textId="77777777" w:rsidR="0091055D" w:rsidRPr="00E4518F" w:rsidRDefault="00F02171" w:rsidP="00CC66EC">
      <w:pPr>
        <w:tabs>
          <w:tab w:val="left" w:pos="4962"/>
        </w:tabs>
        <w:spacing w:line="360" w:lineRule="auto"/>
        <w:jc w:val="both"/>
        <w:rPr>
          <w:rFonts w:ascii="Palatino Linotype" w:eastAsia="Calibri" w:hAnsi="Palatino Linotype" w:cs="Tahoma"/>
          <w:iCs/>
          <w:sz w:val="22"/>
          <w:szCs w:val="22"/>
          <w:lang w:val="es-ES" w:eastAsia="es-ES_tradnl"/>
        </w:rPr>
      </w:pPr>
      <w:r w:rsidRPr="00E451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4518F">
        <w:rPr>
          <w:rFonts w:ascii="Palatino Linotype" w:eastAsia="Calibri" w:hAnsi="Palatino Linotype" w:cs="Tahoma"/>
          <w:iCs/>
          <w:sz w:val="22"/>
          <w:szCs w:val="22"/>
          <w:lang w:val="es-ES" w:eastAsia="es-ES_tradnl"/>
        </w:rPr>
        <w:t>lo siguiente:</w:t>
      </w:r>
    </w:p>
    <w:p w14:paraId="37A9ED0E" w14:textId="77777777" w:rsidR="0091055D" w:rsidRDefault="0091055D" w:rsidP="00CC66EC">
      <w:pPr>
        <w:tabs>
          <w:tab w:val="left" w:pos="4962"/>
        </w:tabs>
        <w:spacing w:line="360" w:lineRule="auto"/>
        <w:jc w:val="both"/>
        <w:rPr>
          <w:rFonts w:ascii="Palatino Linotype" w:eastAsia="Calibri" w:hAnsi="Palatino Linotype" w:cs="Tahoma"/>
          <w:iCs/>
          <w:sz w:val="22"/>
          <w:szCs w:val="22"/>
          <w:lang w:val="es-ES" w:eastAsia="es-ES_tradnl"/>
        </w:rPr>
      </w:pPr>
    </w:p>
    <w:p w14:paraId="0CF7F8E6" w14:textId="62E6472E" w:rsidR="00E64BD9" w:rsidRPr="00E4518F" w:rsidRDefault="00E64BD9" w:rsidP="00CC66EC">
      <w:pPr>
        <w:tabs>
          <w:tab w:val="left" w:pos="4962"/>
        </w:tabs>
        <w:spacing w:line="360" w:lineRule="auto"/>
        <w:jc w:val="both"/>
        <w:rPr>
          <w:rFonts w:ascii="Palatino Linotype" w:eastAsia="Calibri" w:hAnsi="Palatino Linotype" w:cs="Tahoma"/>
          <w:iCs/>
          <w:sz w:val="22"/>
          <w:szCs w:val="22"/>
          <w:lang w:eastAsia="es-ES_tradnl"/>
        </w:rPr>
      </w:pPr>
      <w:r w:rsidRPr="00E4518F">
        <w:rPr>
          <w:rFonts w:ascii="Palatino Linotype" w:eastAsia="Calibri" w:hAnsi="Palatino Linotype" w:cs="Tahoma"/>
          <w:iCs/>
          <w:sz w:val="22"/>
          <w:szCs w:val="22"/>
          <w:lang w:val="es-ES" w:eastAsia="es-ES_tradnl"/>
        </w:rPr>
        <w:lastRenderedPageBreak/>
        <w:t xml:space="preserve">El </w:t>
      </w:r>
      <w:r w:rsidR="00A77B87">
        <w:rPr>
          <w:rFonts w:ascii="Palatino Linotype" w:eastAsia="Calibri" w:hAnsi="Palatino Linotype" w:cs="Tahoma"/>
          <w:iCs/>
          <w:sz w:val="22"/>
          <w:szCs w:val="22"/>
          <w:lang w:val="es-ES" w:eastAsia="es-ES_tradnl"/>
        </w:rPr>
        <w:t>Particular</w:t>
      </w:r>
      <w:r w:rsidR="00B14154" w:rsidRPr="00E4518F">
        <w:rPr>
          <w:rFonts w:ascii="Palatino Linotype" w:eastAsia="Calibri" w:hAnsi="Palatino Linotype" w:cs="Tahoma"/>
          <w:iCs/>
          <w:sz w:val="22"/>
          <w:szCs w:val="22"/>
          <w:lang w:val="es-ES" w:eastAsia="es-ES_tradnl"/>
        </w:rPr>
        <w:t xml:space="preserve"> solicitó</w:t>
      </w:r>
      <w:r w:rsidR="00A77B87">
        <w:rPr>
          <w:rFonts w:ascii="Palatino Linotype" w:eastAsia="Calibri" w:hAnsi="Palatino Linotype" w:cs="Tahoma"/>
          <w:iCs/>
          <w:sz w:val="22"/>
          <w:szCs w:val="22"/>
          <w:lang w:val="es-ES" w:eastAsia="es-ES_tradnl"/>
        </w:rPr>
        <w:t>,</w:t>
      </w:r>
      <w:r w:rsidR="00B14154" w:rsidRPr="00E4518F">
        <w:rPr>
          <w:rFonts w:ascii="Palatino Linotype" w:eastAsia="Calibri" w:hAnsi="Palatino Linotype" w:cs="Tahoma"/>
          <w:iCs/>
          <w:sz w:val="22"/>
          <w:szCs w:val="22"/>
          <w:lang w:val="es-ES" w:eastAsia="es-ES_tradnl"/>
        </w:rPr>
        <w:t xml:space="preserve"> </w:t>
      </w:r>
      <w:r w:rsidR="00A77B87">
        <w:rPr>
          <w:rFonts w:ascii="Palatino Linotype" w:eastAsia="Calibri" w:hAnsi="Palatino Linotype" w:cs="Tahoma"/>
          <w:iCs/>
          <w:sz w:val="22"/>
          <w:szCs w:val="22"/>
          <w:lang w:val="es-ES" w:eastAsia="es-ES_tradnl"/>
        </w:rPr>
        <w:t>con relación al Presupuesto de Egresos Global Calendarizado dos mil diecisiete y, las cuentas 3300 ‘Servicios profesionales, científicos, t</w:t>
      </w:r>
      <w:r w:rsidR="00CC63EF">
        <w:rPr>
          <w:rFonts w:ascii="Palatino Linotype" w:eastAsia="Calibri" w:hAnsi="Palatino Linotype" w:cs="Tahoma"/>
          <w:iCs/>
          <w:sz w:val="22"/>
          <w:szCs w:val="22"/>
          <w:lang w:val="es-ES" w:eastAsia="es-ES_tradnl"/>
        </w:rPr>
        <w:t>écnicos y otro</w:t>
      </w:r>
      <w:r w:rsidR="00A77B87">
        <w:rPr>
          <w:rFonts w:ascii="Palatino Linotype" w:eastAsia="Calibri" w:hAnsi="Palatino Linotype" w:cs="Tahoma"/>
          <w:iCs/>
          <w:sz w:val="22"/>
          <w:szCs w:val="22"/>
          <w:lang w:val="es-ES" w:eastAsia="es-ES_tradnl"/>
        </w:rPr>
        <w:t>s servicios’ (noventa y tres millones ciento setenta y cinco y quinientos cuatro con 34/100 M.N.), 3341 “Capacitación” (diecinueve millones seiscientos veintitrés mil trescientos cuarenta y seis 95/100 M.N.) y 3391 “Servicios Profesionales” (cuarenta y cinco millones cincuenta y tres mil, quinientos noventa y cuatro pesos), toda la información y documentación en la que se especifiquen los detalles de los servicios contratados y promocionados en cada cuenta señalada, así como la documentación que acredite la contratación de los servicios y ejercicio de recursos públicos.</w:t>
      </w:r>
    </w:p>
    <w:p w14:paraId="2014359F" w14:textId="77777777" w:rsidR="00D91BA4" w:rsidRPr="00E4518F" w:rsidRDefault="00D91BA4" w:rsidP="00CC66EC">
      <w:pPr>
        <w:tabs>
          <w:tab w:val="left" w:pos="4962"/>
        </w:tabs>
        <w:spacing w:line="360" w:lineRule="auto"/>
        <w:jc w:val="both"/>
        <w:rPr>
          <w:rFonts w:ascii="Palatino Linotype" w:eastAsia="Calibri" w:hAnsi="Palatino Linotype" w:cs="Tahoma"/>
          <w:iCs/>
          <w:sz w:val="22"/>
          <w:szCs w:val="22"/>
          <w:lang w:val="es-ES" w:eastAsia="es-ES_tradnl"/>
        </w:rPr>
      </w:pPr>
    </w:p>
    <w:p w14:paraId="3FD47B9F" w14:textId="41B63059" w:rsidR="00A104F3" w:rsidRPr="00A104F3" w:rsidRDefault="008B5215" w:rsidP="00CC66E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w:t>
      </w:r>
      <w:r w:rsidR="006D7343" w:rsidRPr="00E4518F">
        <w:rPr>
          <w:rFonts w:ascii="Palatino Linotype" w:eastAsia="Calibri" w:hAnsi="Palatino Linotype" w:cs="Tahoma"/>
          <w:iCs/>
          <w:sz w:val="22"/>
          <w:szCs w:val="22"/>
          <w:lang w:val="es-ES" w:eastAsia="es-ES_tradnl"/>
        </w:rPr>
        <w:t xml:space="preserve"> </w:t>
      </w:r>
      <w:r w:rsidR="000E6108">
        <w:rPr>
          <w:rFonts w:ascii="Palatino Linotype" w:eastAsia="Calibri" w:hAnsi="Palatino Linotype" w:cs="Tahoma"/>
          <w:iCs/>
          <w:sz w:val="22"/>
          <w:szCs w:val="22"/>
          <w:lang w:val="es-ES" w:eastAsia="es-ES_tradnl"/>
        </w:rPr>
        <w:t>Ayuntamiento de Naucalpan de Juárez</w:t>
      </w:r>
      <w:r w:rsidR="003475EF" w:rsidRPr="00E4518F">
        <w:rPr>
          <w:rFonts w:ascii="Palatino Linotype" w:eastAsia="Calibri" w:hAnsi="Palatino Linotype" w:cs="Tahoma"/>
          <w:iCs/>
          <w:sz w:val="22"/>
          <w:szCs w:val="22"/>
          <w:lang w:val="es-ES" w:eastAsia="es-ES_tradnl"/>
        </w:rPr>
        <w:t xml:space="preserve">, a través de la Dirección </w:t>
      </w:r>
      <w:r w:rsidR="00D30BD2">
        <w:rPr>
          <w:rFonts w:ascii="Palatino Linotype" w:eastAsia="Calibri" w:hAnsi="Palatino Linotype" w:cs="Tahoma"/>
          <w:iCs/>
          <w:sz w:val="22"/>
          <w:szCs w:val="22"/>
          <w:lang w:val="es-ES" w:eastAsia="es-ES_tradnl"/>
        </w:rPr>
        <w:t xml:space="preserve">General </w:t>
      </w:r>
      <w:r w:rsidR="00A77B87">
        <w:rPr>
          <w:rFonts w:ascii="Palatino Linotype" w:eastAsia="Calibri" w:hAnsi="Palatino Linotype" w:cs="Tahoma"/>
          <w:iCs/>
          <w:sz w:val="22"/>
          <w:szCs w:val="22"/>
          <w:lang w:val="es-ES" w:eastAsia="es-ES_tradnl"/>
        </w:rPr>
        <w:t>Jurídica</w:t>
      </w:r>
      <w:r w:rsidR="003475EF" w:rsidRPr="00E4518F">
        <w:rPr>
          <w:rFonts w:ascii="Palatino Linotype" w:eastAsia="Calibri" w:hAnsi="Palatino Linotype" w:cs="Tahoma"/>
          <w:iCs/>
          <w:sz w:val="22"/>
          <w:szCs w:val="22"/>
          <w:lang w:val="es-ES" w:eastAsia="es-ES_tradnl"/>
        </w:rPr>
        <w:t xml:space="preserve">, precisó </w:t>
      </w:r>
      <w:r w:rsidR="00A77B87">
        <w:rPr>
          <w:rFonts w:ascii="Palatino Linotype" w:eastAsia="Calibri" w:hAnsi="Palatino Linotype" w:cs="Tahoma"/>
          <w:iCs/>
          <w:sz w:val="22"/>
          <w:szCs w:val="22"/>
          <w:lang w:val="es-ES" w:eastAsia="es-ES_tradnl"/>
        </w:rPr>
        <w:t>que después de realizar una búsqueda minuciosa de la información requerida, no localizó la mis</w:t>
      </w:r>
      <w:r w:rsidR="00A104F3">
        <w:rPr>
          <w:rFonts w:ascii="Palatino Linotype" w:eastAsia="Calibri" w:hAnsi="Palatino Linotype" w:cs="Tahoma"/>
          <w:iCs/>
          <w:sz w:val="22"/>
          <w:szCs w:val="22"/>
          <w:lang w:val="es-ES" w:eastAsia="es-ES_tradnl"/>
        </w:rPr>
        <w:t xml:space="preserve">ma, al no obrar en sus archivos; además, el Ente Recurrido señaló que el Particular se podía dirigir a la siguiente liga electrónica: </w:t>
      </w:r>
      <w:hyperlink r:id="rId9" w:history="1">
        <w:r w:rsidR="00956C84" w:rsidRPr="00F35B9A">
          <w:rPr>
            <w:rStyle w:val="Hipervnculo"/>
            <w:rFonts w:ascii="Palatino Linotype" w:eastAsia="Calibri" w:hAnsi="Palatino Linotype" w:cs="Tahoma"/>
            <w:iCs/>
            <w:sz w:val="22"/>
            <w:szCs w:val="22"/>
            <w:lang w:val="es-ES" w:eastAsia="es-ES_tradnl"/>
          </w:rPr>
          <w:t>https://www.ipomex.org.mx/ipo/lgt/indice/naucalpan/convenios.web</w:t>
        </w:r>
      </w:hyperlink>
      <w:r w:rsidR="00A104F3">
        <w:rPr>
          <w:rFonts w:ascii="Palatino Linotype" w:eastAsia="Calibri" w:hAnsi="Palatino Linotype" w:cs="Tahoma"/>
          <w:iCs/>
          <w:sz w:val="22"/>
          <w:szCs w:val="22"/>
          <w:lang w:val="es-ES" w:eastAsia="es-ES_tradnl"/>
        </w:rPr>
        <w:t xml:space="preserve">. </w:t>
      </w:r>
    </w:p>
    <w:p w14:paraId="0AF60BBB" w14:textId="77777777" w:rsidR="003A7DE9" w:rsidRPr="00E4518F" w:rsidRDefault="003A7DE9" w:rsidP="00CC66EC">
      <w:pPr>
        <w:tabs>
          <w:tab w:val="left" w:pos="4962"/>
        </w:tabs>
        <w:spacing w:line="360" w:lineRule="auto"/>
        <w:jc w:val="both"/>
        <w:rPr>
          <w:rFonts w:ascii="Palatino Linotype" w:eastAsia="Calibri" w:hAnsi="Palatino Linotype" w:cs="Tahoma"/>
          <w:iCs/>
          <w:sz w:val="22"/>
          <w:szCs w:val="22"/>
          <w:lang w:val="es-ES" w:eastAsia="es-ES_tradnl"/>
        </w:rPr>
      </w:pPr>
    </w:p>
    <w:p w14:paraId="03E319F8" w14:textId="3E6E9385" w:rsidR="00D30BD2" w:rsidRPr="004E330F" w:rsidRDefault="00D30BD2" w:rsidP="00CC66EC">
      <w:pPr>
        <w:tabs>
          <w:tab w:val="left" w:pos="4962"/>
        </w:tabs>
        <w:spacing w:line="360" w:lineRule="auto"/>
        <w:jc w:val="both"/>
        <w:rPr>
          <w:rFonts w:ascii="Palatino Linotype" w:eastAsia="Calibri" w:hAnsi="Palatino Linotype" w:cs="Tahoma"/>
          <w:iCs/>
          <w:sz w:val="22"/>
          <w:szCs w:val="22"/>
          <w:lang w:val="es-ES" w:eastAsia="es-ES_tradnl"/>
        </w:rPr>
      </w:pPr>
      <w:r w:rsidRPr="004E330F">
        <w:rPr>
          <w:rFonts w:ascii="Palatino Linotype" w:eastAsia="Calibri" w:hAnsi="Palatino Linotype" w:cs="Tahoma"/>
          <w:iCs/>
          <w:sz w:val="22"/>
          <w:szCs w:val="22"/>
          <w:lang w:val="es-ES" w:eastAsia="es-ES_tradnl"/>
        </w:rPr>
        <w:t>Ante la respuesta, el Rec</w:t>
      </w:r>
      <w:r>
        <w:rPr>
          <w:rFonts w:ascii="Palatino Linotype" w:eastAsia="Calibri" w:hAnsi="Palatino Linotype" w:cs="Tahoma"/>
          <w:iCs/>
          <w:sz w:val="22"/>
          <w:szCs w:val="22"/>
          <w:lang w:val="es-ES" w:eastAsia="es-ES_tradnl"/>
        </w:rPr>
        <w:t xml:space="preserve">urrente se inconformó </w:t>
      </w:r>
      <w:r w:rsidR="00956C84">
        <w:rPr>
          <w:rFonts w:ascii="Palatino Linotype" w:eastAsia="Calibri" w:hAnsi="Palatino Linotype" w:cs="Tahoma"/>
          <w:iCs/>
          <w:sz w:val="22"/>
          <w:szCs w:val="22"/>
          <w:lang w:val="es-ES" w:eastAsia="es-ES_tradnl"/>
        </w:rPr>
        <w:t xml:space="preserve">y señaló </w:t>
      </w:r>
      <w:r w:rsidR="00A104F3">
        <w:rPr>
          <w:rFonts w:ascii="Palatino Linotype" w:eastAsia="Calibri" w:hAnsi="Palatino Linotype" w:cs="Tahoma"/>
          <w:iCs/>
          <w:sz w:val="22"/>
          <w:szCs w:val="22"/>
          <w:lang w:val="es-ES" w:eastAsia="es-ES_tradnl"/>
        </w:rPr>
        <w:t xml:space="preserve">que la información solicitada no era competencia de la Dirección General </w:t>
      </w:r>
      <w:r w:rsidR="00CE23FB">
        <w:rPr>
          <w:rFonts w:ascii="Palatino Linotype" w:eastAsia="Calibri" w:hAnsi="Palatino Linotype" w:cs="Tahoma"/>
          <w:iCs/>
          <w:sz w:val="22"/>
          <w:szCs w:val="22"/>
          <w:lang w:val="es-ES" w:eastAsia="es-ES_tradnl"/>
        </w:rPr>
        <w:t>Jurídica</w:t>
      </w:r>
      <w:r w:rsidR="00A104F3">
        <w:rPr>
          <w:rFonts w:ascii="Palatino Linotype" w:eastAsia="Calibri" w:hAnsi="Palatino Linotype" w:cs="Tahoma"/>
          <w:iCs/>
          <w:sz w:val="22"/>
          <w:szCs w:val="22"/>
          <w:lang w:val="es-ES" w:eastAsia="es-ES_tradnl"/>
        </w:rPr>
        <w:t>, por lo cual, no estaba facultada para emitir contestación;</w:t>
      </w:r>
      <w:r w:rsidRPr="004E330F">
        <w:rPr>
          <w:rFonts w:ascii="Palatino Linotype" w:eastAsia="Calibri" w:hAnsi="Palatino Linotype" w:cs="Tahoma"/>
          <w:iCs/>
          <w:sz w:val="22"/>
          <w:szCs w:val="22"/>
          <w:lang w:val="es-ES" w:eastAsia="es-ES_tradnl"/>
        </w:rPr>
        <w:t xml:space="preserve"> motivo por el cual se actualiza el supuesto previsto en el artículo 179, fracción </w:t>
      </w:r>
      <w:r>
        <w:rPr>
          <w:rFonts w:ascii="Palatino Linotype" w:eastAsia="Calibri" w:hAnsi="Palatino Linotype" w:cs="Tahoma"/>
          <w:iCs/>
          <w:sz w:val="22"/>
          <w:szCs w:val="22"/>
          <w:lang w:val="es-ES" w:eastAsia="es-ES_tradnl"/>
        </w:rPr>
        <w:t>II</w:t>
      </w:r>
      <w:r w:rsidRPr="004E330F">
        <w:rPr>
          <w:rFonts w:ascii="Palatino Linotype" w:eastAsia="Calibri" w:hAnsi="Palatino Linotype" w:cs="Tahoma"/>
          <w:iCs/>
          <w:sz w:val="22"/>
          <w:szCs w:val="22"/>
          <w:lang w:val="es-ES" w:eastAsia="es-ES_tradnl"/>
        </w:rPr>
        <w:t xml:space="preserve">I, de la Ley de Transparencia y Acceso a la Información Pública del Estado de México y Municipios, correspondiente a </w:t>
      </w:r>
      <w:r w:rsidRPr="004E330F">
        <w:rPr>
          <w:rFonts w:ascii="Palatino Linotype" w:eastAsia="Calibri" w:hAnsi="Palatino Linotype" w:cs="Tahoma"/>
          <w:b/>
          <w:iCs/>
          <w:sz w:val="22"/>
          <w:szCs w:val="22"/>
          <w:lang w:val="es-ES" w:eastAsia="es-ES_tradnl"/>
        </w:rPr>
        <w:t>–</w:t>
      </w:r>
      <w:r>
        <w:rPr>
          <w:rFonts w:ascii="Palatino Linotype" w:eastAsia="Calibri" w:hAnsi="Palatino Linotype" w:cs="Tahoma"/>
          <w:b/>
          <w:iCs/>
          <w:sz w:val="22"/>
          <w:szCs w:val="22"/>
          <w:lang w:val="es-ES" w:eastAsia="es-ES_tradnl"/>
        </w:rPr>
        <w:t>La Declaración de Inexistencia de la Información</w:t>
      </w:r>
      <w:r w:rsidRPr="004E330F">
        <w:rPr>
          <w:rFonts w:ascii="Palatino Linotype" w:eastAsia="Calibri" w:hAnsi="Palatino Linotype" w:cs="Tahoma"/>
          <w:iCs/>
          <w:sz w:val="22"/>
          <w:szCs w:val="22"/>
          <w:lang w:val="es-ES" w:eastAsia="es-ES_tradnl"/>
        </w:rPr>
        <w:t>-</w:t>
      </w:r>
      <w:r w:rsidRPr="004E330F">
        <w:rPr>
          <w:rFonts w:ascii="Palatino Linotype" w:eastAsia="Calibri" w:hAnsi="Palatino Linotype" w:cs="Tahoma"/>
          <w:b/>
          <w:iCs/>
          <w:sz w:val="22"/>
          <w:szCs w:val="22"/>
          <w:lang w:val="es-ES" w:eastAsia="es-ES_tradnl"/>
        </w:rPr>
        <w:t>.</w:t>
      </w:r>
    </w:p>
    <w:p w14:paraId="7A60A92D" w14:textId="77777777" w:rsidR="00400447" w:rsidRDefault="00400447" w:rsidP="00CC66EC">
      <w:pPr>
        <w:spacing w:line="360" w:lineRule="auto"/>
        <w:jc w:val="both"/>
        <w:rPr>
          <w:rFonts w:ascii="Palatino Linotype" w:hAnsi="Palatino Linotype" w:cs="Tahoma"/>
          <w:b/>
          <w:sz w:val="22"/>
          <w:szCs w:val="22"/>
          <w:lang w:val="es-ES"/>
        </w:rPr>
      </w:pPr>
    </w:p>
    <w:p w14:paraId="1CFB238B" w14:textId="28F55857" w:rsidR="00C10DA1" w:rsidRPr="00E4518F" w:rsidRDefault="00C10DA1" w:rsidP="00CC66EC">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Du</w:t>
      </w:r>
      <w:r w:rsidRPr="00E4518F">
        <w:rPr>
          <w:rFonts w:ascii="Palatino Linotype" w:hAnsi="Palatino Linotype" w:cs="Tahoma"/>
          <w:sz w:val="22"/>
          <w:szCs w:val="22"/>
          <w:lang w:val="es-ES"/>
        </w:rPr>
        <w:t>rante la sustanciación de</w:t>
      </w:r>
      <w:r w:rsidR="00A104F3">
        <w:rPr>
          <w:rFonts w:ascii="Palatino Linotype" w:hAnsi="Palatino Linotype" w:cs="Tahoma"/>
          <w:sz w:val="22"/>
          <w:szCs w:val="22"/>
          <w:lang w:val="es-ES"/>
        </w:rPr>
        <w:t>l expediente, la Dirección General de Administración</w:t>
      </w:r>
      <w:r w:rsidR="00F514A6">
        <w:rPr>
          <w:rFonts w:ascii="Palatino Linotype" w:hAnsi="Palatino Linotype" w:cs="Tahoma"/>
          <w:sz w:val="22"/>
          <w:szCs w:val="22"/>
          <w:lang w:val="es-ES"/>
        </w:rPr>
        <w:t xml:space="preserve"> del Sujeto Obligado,</w:t>
      </w:r>
      <w:r w:rsidR="00A104F3">
        <w:rPr>
          <w:rFonts w:ascii="Palatino Linotype" w:hAnsi="Palatino Linotype" w:cs="Tahoma"/>
          <w:sz w:val="22"/>
          <w:szCs w:val="22"/>
          <w:lang w:val="es-ES"/>
        </w:rPr>
        <w:t xml:space="preserve"> precisó que desde respuesta indicó que la información se localizaba en la página </w:t>
      </w:r>
      <w:hyperlink r:id="rId10" w:history="1">
        <w:r w:rsidR="00A104F3" w:rsidRPr="00A104F3">
          <w:rPr>
            <w:rStyle w:val="Hipervnculo"/>
            <w:rFonts w:ascii="Palatino Linotype" w:hAnsi="Palatino Linotype" w:cs="Tahoma"/>
            <w:sz w:val="22"/>
            <w:szCs w:val="22"/>
          </w:rPr>
          <w:t>https://www.ipomex.org.mx/ipo/lgt/indice/naucalpan/convenios.web</w:t>
        </w:r>
      </w:hyperlink>
      <w:r w:rsidRPr="00E4518F">
        <w:rPr>
          <w:rFonts w:ascii="Palatino Linotype" w:hAnsi="Palatino Linotype" w:cs="Tahoma"/>
          <w:sz w:val="22"/>
          <w:szCs w:val="22"/>
          <w:lang w:val="es-ES"/>
        </w:rPr>
        <w:t xml:space="preserve">; lo anterior, se </w:t>
      </w:r>
      <w:r w:rsidRPr="00E4518F">
        <w:rPr>
          <w:rFonts w:ascii="Palatino Linotype" w:hAnsi="Palatino Linotype" w:cs="Tahoma"/>
          <w:sz w:val="22"/>
          <w:szCs w:val="22"/>
          <w:lang w:val="es-ES"/>
        </w:rPr>
        <w:lastRenderedPageBreak/>
        <w:t xml:space="preserve">desprende de las documentales que obran en el expediente de referencia, materia de la presente resolución, consistente en: la solicitud de acceso a la información con número de folio </w:t>
      </w:r>
      <w:r w:rsidR="00E976C5" w:rsidRPr="00E976C5">
        <w:rPr>
          <w:rFonts w:ascii="Palatino Linotype" w:eastAsia="Calibri" w:hAnsi="Palatino Linotype" w:cs="Tahoma"/>
          <w:bCs/>
          <w:sz w:val="22"/>
          <w:szCs w:val="22"/>
          <w:lang w:eastAsia="en-US"/>
        </w:rPr>
        <w:t>00544/NAUCALPA/IP/2018</w:t>
      </w:r>
      <w:r w:rsidRPr="00E4518F">
        <w:rPr>
          <w:rFonts w:ascii="Palatino Linotype" w:eastAsia="Calibri" w:hAnsi="Palatino Linotype" w:cs="Tahoma"/>
          <w:bCs/>
          <w:sz w:val="22"/>
          <w:szCs w:val="22"/>
          <w:lang w:eastAsia="en-US"/>
        </w:rPr>
        <w:t xml:space="preserve">; la respuesta del </w:t>
      </w:r>
      <w:r w:rsidR="000E6108">
        <w:rPr>
          <w:rFonts w:ascii="Palatino Linotype" w:eastAsia="Calibri" w:hAnsi="Palatino Linotype" w:cs="Tahoma"/>
          <w:bCs/>
          <w:sz w:val="22"/>
          <w:szCs w:val="22"/>
          <w:lang w:eastAsia="en-US"/>
        </w:rPr>
        <w:t>Ayuntamiento de Naucalpan de Juárez</w:t>
      </w:r>
      <w:r w:rsidRPr="00E4518F">
        <w:rPr>
          <w:rFonts w:ascii="Palatino Linotype" w:eastAsia="Calibri" w:hAnsi="Palatino Linotype" w:cs="Tahoma"/>
          <w:bCs/>
          <w:sz w:val="22"/>
          <w:szCs w:val="22"/>
          <w:lang w:eastAsia="en-US"/>
        </w:rPr>
        <w:t>; el escrito recursal y las manifestaciones realizadas por 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5EE547AA" w14:textId="77777777" w:rsidR="00C10DA1" w:rsidRDefault="00C10DA1" w:rsidP="00CC66EC">
      <w:pPr>
        <w:spacing w:line="360" w:lineRule="auto"/>
        <w:jc w:val="both"/>
        <w:rPr>
          <w:rFonts w:ascii="Palatino Linotype" w:hAnsi="Palatino Linotype" w:cs="Tahoma"/>
          <w:b/>
          <w:sz w:val="22"/>
          <w:szCs w:val="22"/>
          <w:lang w:val="es-ES"/>
        </w:rPr>
      </w:pPr>
    </w:p>
    <w:p w14:paraId="1F106EB9" w14:textId="1B21DD70" w:rsidR="00C10DA1" w:rsidRDefault="00C10DA1" w:rsidP="00CC66EC">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Expuestas las posturas de las partes, se procede al análisis del agravio hecho valer por el ahora Recurrente, concerniente a la negativa del </w:t>
      </w:r>
      <w:r w:rsidR="000E6108">
        <w:rPr>
          <w:rFonts w:ascii="Palatino Linotype" w:eastAsia="Calibri" w:hAnsi="Palatino Linotype" w:cs="Tahoma"/>
          <w:bCs/>
          <w:sz w:val="22"/>
          <w:szCs w:val="22"/>
          <w:lang w:eastAsia="en-US"/>
        </w:rPr>
        <w:t>Ayuntamiento de Naucalpan de Juárez</w:t>
      </w:r>
      <w:r w:rsidRPr="00E4518F">
        <w:rPr>
          <w:rFonts w:ascii="Palatino Linotype" w:eastAsia="Calibri" w:hAnsi="Palatino Linotype" w:cs="Tahoma"/>
          <w:bCs/>
          <w:sz w:val="22"/>
          <w:szCs w:val="22"/>
          <w:lang w:eastAsia="en-US"/>
        </w:rPr>
        <w:t xml:space="preserve"> a proporcionar los padrones de beneficiarios requeridos.</w:t>
      </w:r>
    </w:p>
    <w:p w14:paraId="2BD57334" w14:textId="77777777" w:rsidR="00A74376" w:rsidRPr="00E4518F" w:rsidRDefault="00A74376" w:rsidP="00CC66EC">
      <w:pPr>
        <w:spacing w:line="360" w:lineRule="auto"/>
        <w:jc w:val="both"/>
        <w:rPr>
          <w:rFonts w:ascii="Palatino Linotype" w:eastAsia="Calibri" w:hAnsi="Palatino Linotype" w:cs="Tahoma"/>
          <w:bCs/>
          <w:sz w:val="22"/>
          <w:szCs w:val="22"/>
          <w:lang w:eastAsia="en-US"/>
        </w:rPr>
      </w:pPr>
    </w:p>
    <w:p w14:paraId="69471B28" w14:textId="77777777" w:rsidR="00D200AB" w:rsidRPr="00E4518F" w:rsidRDefault="009617D3" w:rsidP="00CC66EC">
      <w:pPr>
        <w:spacing w:line="360" w:lineRule="auto"/>
        <w:jc w:val="both"/>
        <w:rPr>
          <w:rFonts w:ascii="Palatino Linotype" w:hAnsi="Palatino Linotype" w:cs="Tahoma"/>
          <w:b/>
          <w:sz w:val="22"/>
          <w:szCs w:val="22"/>
        </w:rPr>
      </w:pPr>
      <w:r w:rsidRPr="00E4518F">
        <w:rPr>
          <w:rFonts w:ascii="Palatino Linotype" w:hAnsi="Palatino Linotype" w:cs="Tahoma"/>
          <w:b/>
          <w:sz w:val="22"/>
          <w:szCs w:val="22"/>
          <w:lang w:val="es-ES"/>
        </w:rPr>
        <w:t>CUART</w:t>
      </w:r>
      <w:r w:rsidR="002241A6" w:rsidRPr="00E4518F">
        <w:rPr>
          <w:rFonts w:ascii="Palatino Linotype" w:hAnsi="Palatino Linotype" w:cs="Tahoma"/>
          <w:b/>
          <w:sz w:val="22"/>
          <w:szCs w:val="22"/>
          <w:lang w:val="es-ES"/>
        </w:rPr>
        <w:t>O</w:t>
      </w:r>
      <w:r w:rsidRPr="00E4518F">
        <w:rPr>
          <w:rFonts w:ascii="Palatino Linotype" w:hAnsi="Palatino Linotype" w:cs="Tahoma"/>
          <w:b/>
          <w:sz w:val="22"/>
          <w:szCs w:val="22"/>
          <w:lang w:val="es-ES"/>
        </w:rPr>
        <w:t xml:space="preserve">. </w:t>
      </w:r>
      <w:r w:rsidR="00D200AB" w:rsidRPr="00E4518F">
        <w:rPr>
          <w:rFonts w:ascii="Palatino Linotype" w:hAnsi="Palatino Linotype" w:cs="Tahoma"/>
          <w:b/>
          <w:sz w:val="22"/>
          <w:szCs w:val="22"/>
        </w:rPr>
        <w:t>Marco normativo aplicable en materia de transparencia y acceso a la información pública.</w:t>
      </w:r>
    </w:p>
    <w:p w14:paraId="67E9B874" w14:textId="77777777" w:rsidR="00D200AB" w:rsidRDefault="00D200AB" w:rsidP="00CC66EC">
      <w:pPr>
        <w:spacing w:line="360" w:lineRule="auto"/>
        <w:jc w:val="both"/>
        <w:rPr>
          <w:rFonts w:ascii="Palatino Linotype" w:hAnsi="Palatino Linotype" w:cs="Tahoma"/>
          <w:b/>
          <w:sz w:val="22"/>
          <w:szCs w:val="22"/>
        </w:rPr>
      </w:pPr>
    </w:p>
    <w:p w14:paraId="0C561BB3" w14:textId="53BBBE07" w:rsidR="00D200AB" w:rsidRPr="00E4518F" w:rsidRDefault="00D200AB" w:rsidP="00CC66EC">
      <w:pPr>
        <w:spacing w:line="360" w:lineRule="auto"/>
        <w:contextualSpacing/>
        <w:jc w:val="both"/>
        <w:rPr>
          <w:rFonts w:ascii="Palatino Linotype" w:hAnsi="Palatino Linotype" w:cs="Tahoma"/>
          <w:sz w:val="22"/>
          <w:szCs w:val="22"/>
        </w:rPr>
      </w:pPr>
      <w:r w:rsidRPr="00E4518F">
        <w:rPr>
          <w:rFonts w:ascii="Palatino Linotype" w:hAnsi="Palatino Linotype" w:cs="Tahoma"/>
          <w:sz w:val="22"/>
          <w:szCs w:val="22"/>
        </w:rPr>
        <w:t>El artículo 6°, Apartado A), fracción I</w:t>
      </w:r>
      <w:r w:rsidR="005F5818">
        <w:rPr>
          <w:rFonts w:ascii="Palatino Linotype" w:hAnsi="Palatino Linotype" w:cs="Tahoma"/>
          <w:sz w:val="22"/>
          <w:szCs w:val="22"/>
        </w:rPr>
        <w:t>,</w:t>
      </w:r>
      <w:r w:rsidRPr="00E4518F">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3FC426B0" w14:textId="77777777" w:rsidR="00D200AB" w:rsidRPr="00E4518F" w:rsidRDefault="00D200AB"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30CFC63" w14:textId="77777777" w:rsidR="00D200AB" w:rsidRPr="00E4518F" w:rsidRDefault="00D200AB" w:rsidP="00CC66EC">
      <w:pPr>
        <w:spacing w:line="360" w:lineRule="auto"/>
        <w:jc w:val="both"/>
        <w:rPr>
          <w:rFonts w:ascii="Palatino Linotype" w:hAnsi="Palatino Linotype" w:cs="Tahoma"/>
          <w:sz w:val="22"/>
          <w:szCs w:val="22"/>
        </w:rPr>
      </w:pPr>
    </w:p>
    <w:p w14:paraId="043B42A0" w14:textId="77777777" w:rsidR="00D200AB" w:rsidRPr="00E4518F" w:rsidRDefault="00D200AB"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E4518F">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077B3BD" w14:textId="77777777" w:rsidR="00D200AB" w:rsidRPr="00E4518F" w:rsidRDefault="00D200AB" w:rsidP="00CC66EC">
      <w:pPr>
        <w:spacing w:line="360" w:lineRule="auto"/>
        <w:jc w:val="both"/>
        <w:rPr>
          <w:rFonts w:ascii="Palatino Linotype" w:hAnsi="Palatino Linotype" w:cs="Tahoma"/>
          <w:sz w:val="22"/>
          <w:szCs w:val="22"/>
        </w:rPr>
      </w:pPr>
    </w:p>
    <w:p w14:paraId="3B373BAB" w14:textId="77777777" w:rsidR="00D200AB" w:rsidRPr="00E4518F" w:rsidRDefault="00D200AB"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F8D913" w14:textId="77777777" w:rsidR="00D200AB" w:rsidRPr="00E4518F" w:rsidRDefault="00D200AB" w:rsidP="00CC66EC">
      <w:pPr>
        <w:spacing w:line="360" w:lineRule="auto"/>
        <w:jc w:val="both"/>
        <w:rPr>
          <w:rFonts w:ascii="Palatino Linotype" w:hAnsi="Palatino Linotype" w:cs="Tahoma"/>
          <w:sz w:val="22"/>
          <w:szCs w:val="22"/>
        </w:rPr>
      </w:pPr>
    </w:p>
    <w:p w14:paraId="75AC9274" w14:textId="2454395C" w:rsidR="00D200AB" w:rsidRPr="00E4518F" w:rsidRDefault="009A413D"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L</w:t>
      </w:r>
      <w:r w:rsidR="00D200AB" w:rsidRPr="00E4518F">
        <w:rPr>
          <w:rFonts w:ascii="Palatino Linotype" w:hAnsi="Palatino Linotype" w:cs="Tahoma"/>
          <w:sz w:val="22"/>
          <w:szCs w:val="22"/>
        </w:rPr>
        <w:t>a Ley de Transparencia y Acceso a la Información Pública del Estado de México y Municipios (Reglamentaria del artículo 5° de la Constitución Local), establece lo siguiente:</w:t>
      </w:r>
    </w:p>
    <w:p w14:paraId="787B6333" w14:textId="77777777" w:rsidR="00D200AB" w:rsidRPr="00E4518F" w:rsidRDefault="00D200AB" w:rsidP="00CC66EC">
      <w:pPr>
        <w:spacing w:line="360" w:lineRule="auto"/>
        <w:jc w:val="both"/>
        <w:rPr>
          <w:rFonts w:ascii="Palatino Linotype" w:hAnsi="Palatino Linotype" w:cs="Tahoma"/>
          <w:sz w:val="22"/>
          <w:szCs w:val="22"/>
        </w:rPr>
      </w:pPr>
    </w:p>
    <w:p w14:paraId="30998D7F" w14:textId="77777777" w:rsidR="00D200AB" w:rsidRPr="00E4518F" w:rsidRDefault="00D200AB"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12, que, quienes generen, recopilen, administren, manejen, procesen, archiven o conserven información pública serán responsables de la misma.</w:t>
      </w:r>
    </w:p>
    <w:p w14:paraId="65AE2A57" w14:textId="77777777" w:rsidR="00D200AB" w:rsidRPr="00E4518F" w:rsidRDefault="00D200AB"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59B419E" w14:textId="77777777" w:rsidR="00D200AB" w:rsidRPr="00E4518F" w:rsidRDefault="00D200AB" w:rsidP="00CC66EC">
      <w:pPr>
        <w:spacing w:line="360" w:lineRule="auto"/>
        <w:jc w:val="both"/>
        <w:rPr>
          <w:rFonts w:ascii="Palatino Linotype" w:hAnsi="Palatino Linotype" w:cs="Tahoma"/>
          <w:sz w:val="22"/>
          <w:szCs w:val="22"/>
        </w:rPr>
      </w:pPr>
    </w:p>
    <w:p w14:paraId="10312776" w14:textId="77777777" w:rsidR="00D200AB" w:rsidRPr="00E4518F" w:rsidRDefault="00D200AB" w:rsidP="00CC66EC">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C3A445" w14:textId="77777777" w:rsidR="00D200AB" w:rsidRDefault="00D200AB" w:rsidP="00CC66EC">
      <w:pPr>
        <w:spacing w:line="360" w:lineRule="auto"/>
        <w:jc w:val="both"/>
        <w:rPr>
          <w:rFonts w:ascii="Palatino Linotype" w:hAnsi="Palatino Linotype" w:cs="Tahoma"/>
          <w:sz w:val="22"/>
          <w:szCs w:val="22"/>
        </w:rPr>
      </w:pPr>
    </w:p>
    <w:p w14:paraId="74878285" w14:textId="137D3FE2" w:rsidR="00E976C5" w:rsidRDefault="00E976C5" w:rsidP="00CC66EC">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El artículo 92, </w:t>
      </w:r>
      <w:r w:rsidRPr="003D5DCE">
        <w:rPr>
          <w:rFonts w:ascii="Palatino Linotype" w:hAnsi="Palatino Linotype" w:cs="Tahoma"/>
          <w:sz w:val="22"/>
          <w:szCs w:val="22"/>
        </w:rPr>
        <w:t>detalla la información que corresponde a las Obligaciones de Transparencia, de las que destaca la contenida</w:t>
      </w:r>
      <w:r>
        <w:rPr>
          <w:rFonts w:ascii="Palatino Linotype" w:hAnsi="Palatino Linotype" w:cs="Tahoma"/>
          <w:sz w:val="22"/>
          <w:szCs w:val="22"/>
        </w:rPr>
        <w:t xml:space="preserve"> en la</w:t>
      </w:r>
      <w:r w:rsidRPr="003D5DCE">
        <w:rPr>
          <w:rFonts w:ascii="Palatino Linotype" w:hAnsi="Palatino Linotype" w:cs="Tahoma"/>
          <w:sz w:val="22"/>
          <w:szCs w:val="22"/>
        </w:rPr>
        <w:t xml:space="preserve"> </w:t>
      </w:r>
      <w:r>
        <w:rPr>
          <w:rFonts w:ascii="Palatino Linotype" w:hAnsi="Palatino Linotype" w:cs="Tahoma"/>
          <w:sz w:val="22"/>
          <w:szCs w:val="22"/>
        </w:rPr>
        <w:t>fracción XXV</w:t>
      </w:r>
      <w:r w:rsidRPr="003D5DCE">
        <w:rPr>
          <w:rFonts w:ascii="Palatino Linotype" w:hAnsi="Palatino Linotype" w:cs="Tahoma"/>
          <w:sz w:val="22"/>
          <w:szCs w:val="22"/>
        </w:rPr>
        <w:t>, concerniente</w:t>
      </w:r>
      <w:r>
        <w:rPr>
          <w:rFonts w:ascii="Palatino Linotype" w:hAnsi="Palatino Linotype" w:cs="Tahoma"/>
          <w:sz w:val="22"/>
          <w:szCs w:val="22"/>
        </w:rPr>
        <w:t xml:space="preserve"> a la información financiera sobre el presupuesto asignado, así como los informes del ejercicio trimestral del gasto, en términos de la Ley de General de Contabilidad Gubernamental, y demás disposiciones jurídicas.</w:t>
      </w:r>
    </w:p>
    <w:p w14:paraId="0DA71DF5" w14:textId="77777777" w:rsidR="00E976C5" w:rsidRPr="00E4518F" w:rsidRDefault="00E976C5" w:rsidP="00CC66EC">
      <w:pPr>
        <w:spacing w:line="360" w:lineRule="auto"/>
        <w:jc w:val="both"/>
        <w:rPr>
          <w:rFonts w:ascii="Palatino Linotype" w:hAnsi="Palatino Linotype" w:cs="Tahoma"/>
          <w:sz w:val="22"/>
          <w:szCs w:val="22"/>
        </w:rPr>
      </w:pPr>
    </w:p>
    <w:p w14:paraId="192B9C5E" w14:textId="77777777" w:rsidR="007876CF" w:rsidRPr="00E4518F" w:rsidRDefault="00D200AB" w:rsidP="00CC66EC">
      <w:pPr>
        <w:spacing w:line="360" w:lineRule="auto"/>
        <w:jc w:val="both"/>
        <w:rPr>
          <w:rFonts w:ascii="Palatino Linotype" w:hAnsi="Palatino Linotype" w:cs="Tahoma"/>
          <w:b/>
          <w:sz w:val="22"/>
          <w:szCs w:val="22"/>
          <w:lang w:val="es-ES"/>
        </w:rPr>
      </w:pPr>
      <w:r w:rsidRPr="00E4518F">
        <w:rPr>
          <w:rFonts w:ascii="Palatino Linotype" w:hAnsi="Palatino Linotype" w:cs="Tahoma"/>
          <w:b/>
          <w:sz w:val="22"/>
          <w:szCs w:val="22"/>
          <w:lang w:val="es-ES"/>
        </w:rPr>
        <w:t xml:space="preserve">QUINTO. </w:t>
      </w:r>
      <w:r w:rsidR="009617D3" w:rsidRPr="00E4518F">
        <w:rPr>
          <w:rFonts w:ascii="Palatino Linotype" w:hAnsi="Palatino Linotype" w:cs="Tahoma"/>
          <w:b/>
          <w:sz w:val="22"/>
          <w:szCs w:val="22"/>
          <w:lang w:val="es-ES"/>
        </w:rPr>
        <w:t>Estudio de Fondo.</w:t>
      </w:r>
    </w:p>
    <w:p w14:paraId="391A8A74" w14:textId="77777777" w:rsidR="00C746D9" w:rsidRPr="00E4518F" w:rsidRDefault="00C746D9" w:rsidP="00CC66EC">
      <w:pPr>
        <w:spacing w:line="360" w:lineRule="auto"/>
        <w:jc w:val="both"/>
        <w:rPr>
          <w:rFonts w:ascii="Palatino Linotype" w:hAnsi="Palatino Linotype" w:cs="Tahoma"/>
          <w:sz w:val="22"/>
          <w:szCs w:val="22"/>
          <w:lang w:val="es-ES"/>
        </w:rPr>
      </w:pPr>
    </w:p>
    <w:p w14:paraId="59BA0EB0" w14:textId="37156251" w:rsidR="00CC382B" w:rsidRDefault="0020015C" w:rsidP="00CC66EC">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En principio, </w:t>
      </w:r>
      <w:r w:rsidR="00CC382B">
        <w:rPr>
          <w:rFonts w:ascii="Palatino Linotype" w:eastAsia="Calibri" w:hAnsi="Palatino Linotype" w:cs="Tahoma"/>
          <w:bCs/>
          <w:sz w:val="22"/>
          <w:szCs w:val="22"/>
          <w:lang w:eastAsia="en-US"/>
        </w:rPr>
        <w:t xml:space="preserve">resulta necesario precisar </w:t>
      </w:r>
      <w:r w:rsidR="003D4DC2">
        <w:rPr>
          <w:rFonts w:ascii="Palatino Linotype" w:eastAsia="Calibri" w:hAnsi="Palatino Linotype" w:cs="Tahoma"/>
          <w:bCs/>
          <w:sz w:val="22"/>
          <w:szCs w:val="22"/>
          <w:lang w:eastAsia="en-US"/>
        </w:rPr>
        <w:t>que la Pretensi</w:t>
      </w:r>
      <w:r w:rsidR="00CE23FB">
        <w:rPr>
          <w:rFonts w:ascii="Palatino Linotype" w:eastAsia="Calibri" w:hAnsi="Palatino Linotype" w:cs="Tahoma"/>
          <w:bCs/>
          <w:sz w:val="22"/>
          <w:szCs w:val="22"/>
          <w:lang w:eastAsia="en-US"/>
        </w:rPr>
        <w:t>ón del Particular, es obtener cualquier documento que dé cuenta de la forma en que se ocuparon los recursos públicos precisados en el Presupuesto de Egresos Global Calendarizado, del dos mil diecisiete, en las cuentas 3300, 3341 y 3391, entre los cuales podría</w:t>
      </w:r>
      <w:r w:rsidR="00F514A6">
        <w:rPr>
          <w:rFonts w:ascii="Palatino Linotype" w:eastAsia="Calibri" w:hAnsi="Palatino Linotype" w:cs="Tahoma"/>
          <w:bCs/>
          <w:sz w:val="22"/>
          <w:szCs w:val="22"/>
          <w:lang w:eastAsia="en-US"/>
        </w:rPr>
        <w:t>n</w:t>
      </w:r>
      <w:r w:rsidR="00CE23FB">
        <w:rPr>
          <w:rFonts w:ascii="Palatino Linotype" w:eastAsia="Calibri" w:hAnsi="Palatino Linotype" w:cs="Tahoma"/>
          <w:bCs/>
          <w:sz w:val="22"/>
          <w:szCs w:val="22"/>
          <w:lang w:eastAsia="en-US"/>
        </w:rPr>
        <w:t xml:space="preserve"> estar, los contratos, convenios, facturas, registros contables, etc.</w:t>
      </w:r>
    </w:p>
    <w:p w14:paraId="0E288180" w14:textId="77777777" w:rsidR="00CC382B" w:rsidRDefault="00CC382B" w:rsidP="00CC66EC">
      <w:pPr>
        <w:spacing w:line="360" w:lineRule="auto"/>
        <w:jc w:val="both"/>
        <w:rPr>
          <w:rFonts w:ascii="Palatino Linotype" w:eastAsia="Calibri" w:hAnsi="Palatino Linotype" w:cs="Tahoma"/>
          <w:bCs/>
          <w:sz w:val="22"/>
          <w:szCs w:val="22"/>
          <w:lang w:eastAsia="en-US"/>
        </w:rPr>
      </w:pPr>
    </w:p>
    <w:p w14:paraId="68CA7CDA" w14:textId="18483046" w:rsidR="00194DA1" w:rsidRDefault="003938A6" w:rsidP="007E5CD5">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Respecto</w:t>
      </w:r>
      <w:r w:rsidR="00194DA1">
        <w:rPr>
          <w:rFonts w:ascii="Palatino Linotype" w:eastAsia="Calibri" w:hAnsi="Palatino Linotype" w:cs="Tahoma"/>
          <w:bCs/>
          <w:sz w:val="22"/>
          <w:szCs w:val="22"/>
          <w:lang w:eastAsia="en-US"/>
        </w:rPr>
        <w:t xml:space="preserve"> a dichas cuentas, cabe traer a colación el Manual para la Planeación, Programación y Presupuesto de Egresos Municipal para el Ejercicio Fiscal 2017, </w:t>
      </w:r>
      <w:r w:rsidR="00F514A6">
        <w:rPr>
          <w:rFonts w:ascii="Palatino Linotype" w:eastAsia="Calibri" w:hAnsi="Palatino Linotype" w:cs="Tahoma"/>
          <w:bCs/>
          <w:sz w:val="22"/>
          <w:szCs w:val="22"/>
          <w:lang w:eastAsia="en-US"/>
        </w:rPr>
        <w:t xml:space="preserve">el cual </w:t>
      </w:r>
      <w:r w:rsidR="00194DA1">
        <w:rPr>
          <w:rFonts w:ascii="Palatino Linotype" w:eastAsia="Calibri" w:hAnsi="Palatino Linotype" w:cs="Tahoma"/>
          <w:bCs/>
          <w:sz w:val="22"/>
          <w:szCs w:val="22"/>
          <w:lang w:eastAsia="en-US"/>
        </w:rPr>
        <w:t xml:space="preserve">precisa el </w:t>
      </w:r>
      <w:r w:rsidR="00F514A6">
        <w:rPr>
          <w:rFonts w:ascii="Palatino Linotype" w:eastAsia="Calibri" w:hAnsi="Palatino Linotype" w:cs="Tahoma"/>
          <w:bCs/>
          <w:sz w:val="22"/>
          <w:szCs w:val="22"/>
          <w:lang w:eastAsia="en-US"/>
        </w:rPr>
        <w:t xml:space="preserve">Clasificador </w:t>
      </w:r>
      <w:r w:rsidR="00194DA1">
        <w:rPr>
          <w:rFonts w:ascii="Palatino Linotype" w:eastAsia="Calibri" w:hAnsi="Palatino Linotype" w:cs="Tahoma"/>
          <w:bCs/>
          <w:sz w:val="22"/>
          <w:szCs w:val="22"/>
          <w:lang w:eastAsia="en-US"/>
        </w:rPr>
        <w:t xml:space="preserve">por Objeto del Gasto Estatal y Municipal, entre las que se encuentra la </w:t>
      </w:r>
      <w:r w:rsidR="00194DA1" w:rsidRPr="00194DA1">
        <w:rPr>
          <w:rFonts w:ascii="Palatino Linotype" w:eastAsia="Calibri" w:hAnsi="Palatino Linotype" w:cs="Tahoma"/>
          <w:b/>
          <w:bCs/>
          <w:sz w:val="22"/>
          <w:szCs w:val="22"/>
          <w:lang w:eastAsia="en-US"/>
        </w:rPr>
        <w:t>3000, correspondiente a</w:t>
      </w:r>
      <w:r w:rsidR="00194DA1">
        <w:rPr>
          <w:rFonts w:ascii="Palatino Linotype" w:eastAsia="Calibri" w:hAnsi="Palatino Linotype" w:cs="Tahoma"/>
          <w:bCs/>
          <w:sz w:val="22"/>
          <w:szCs w:val="22"/>
          <w:lang w:eastAsia="en-US"/>
        </w:rPr>
        <w:t xml:space="preserve"> </w:t>
      </w:r>
      <w:r w:rsidR="00194DA1">
        <w:rPr>
          <w:rFonts w:ascii="Palatino Linotype" w:eastAsia="Calibri" w:hAnsi="Palatino Linotype" w:cs="Tahoma"/>
          <w:b/>
          <w:bCs/>
          <w:sz w:val="22"/>
          <w:szCs w:val="22"/>
          <w:lang w:eastAsia="en-US"/>
        </w:rPr>
        <w:t xml:space="preserve">Servicios Generales¸ </w:t>
      </w:r>
      <w:r w:rsidR="00194DA1">
        <w:rPr>
          <w:rFonts w:ascii="Palatino Linotype" w:eastAsia="Calibri" w:hAnsi="Palatino Linotype" w:cs="Tahoma"/>
          <w:bCs/>
          <w:sz w:val="22"/>
          <w:szCs w:val="22"/>
          <w:lang w:eastAsia="en-US"/>
        </w:rPr>
        <w:t>esto es, asignaciones destinadas a cubrir el costo de todo tipo de servicios que se contraten con particulares o instituciones del propio sector público, así como los servicios oficiales requeridos para el desempeño de actividades vinculadas con la función Pública. Está a su vez se divide de la siguiente manera:</w:t>
      </w:r>
    </w:p>
    <w:p w14:paraId="60FCA8FE" w14:textId="77777777" w:rsidR="00194DA1" w:rsidRDefault="00194DA1" w:rsidP="00CC66EC">
      <w:pPr>
        <w:spacing w:line="360" w:lineRule="auto"/>
        <w:jc w:val="both"/>
        <w:rPr>
          <w:rFonts w:ascii="Palatino Linotype" w:eastAsia="Calibri" w:hAnsi="Palatino Linotype" w:cs="Tahoma"/>
          <w:bCs/>
          <w:sz w:val="22"/>
          <w:szCs w:val="22"/>
          <w:lang w:eastAsia="en-US"/>
        </w:rPr>
      </w:pPr>
    </w:p>
    <w:p w14:paraId="14745486" w14:textId="1B2D1D18" w:rsidR="00194DA1" w:rsidRP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sidRPr="00194DA1">
        <w:rPr>
          <w:rFonts w:ascii="Palatino Linotype" w:eastAsia="Calibri" w:hAnsi="Palatino Linotype" w:cs="Tahoma"/>
          <w:bCs/>
          <w:szCs w:val="22"/>
          <w:lang w:eastAsia="en-US"/>
        </w:rPr>
        <w:t>3100 Servicios Básicos.</w:t>
      </w:r>
    </w:p>
    <w:p w14:paraId="7F4BD4BC" w14:textId="55C0B4F9" w:rsidR="00194DA1" w:rsidRP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sidRPr="00194DA1">
        <w:rPr>
          <w:rFonts w:ascii="Palatino Linotype" w:eastAsia="Calibri" w:hAnsi="Palatino Linotype" w:cs="Tahoma"/>
          <w:bCs/>
          <w:szCs w:val="22"/>
          <w:lang w:eastAsia="en-US"/>
        </w:rPr>
        <w:t>3200 Servicios de Arrendamiento.</w:t>
      </w:r>
    </w:p>
    <w:p w14:paraId="35B97716" w14:textId="47B719F3" w:rsidR="001A7F8B" w:rsidRPr="001A7F8B" w:rsidRDefault="00194DA1" w:rsidP="00194DA1">
      <w:pPr>
        <w:pStyle w:val="Prrafodelista"/>
        <w:numPr>
          <w:ilvl w:val="0"/>
          <w:numId w:val="28"/>
        </w:numPr>
        <w:spacing w:line="360" w:lineRule="auto"/>
        <w:jc w:val="both"/>
        <w:rPr>
          <w:rFonts w:ascii="Palatino Linotype" w:eastAsia="Calibri" w:hAnsi="Palatino Linotype" w:cs="Tahoma"/>
          <w:b/>
          <w:bCs/>
          <w:szCs w:val="22"/>
          <w:lang w:eastAsia="en-US"/>
        </w:rPr>
      </w:pPr>
      <w:r w:rsidRPr="00194DA1">
        <w:rPr>
          <w:rFonts w:ascii="Palatino Linotype" w:eastAsia="Calibri" w:hAnsi="Palatino Linotype" w:cs="Tahoma"/>
          <w:b/>
          <w:bCs/>
          <w:szCs w:val="22"/>
          <w:lang w:eastAsia="en-US"/>
        </w:rPr>
        <w:lastRenderedPageBreak/>
        <w:t xml:space="preserve">3300 </w:t>
      </w:r>
      <w:r w:rsidR="001A7F8B">
        <w:rPr>
          <w:rFonts w:ascii="Palatino Linotype" w:eastAsia="Calibri" w:hAnsi="Palatino Linotype" w:cs="Tahoma"/>
          <w:b/>
          <w:bCs/>
          <w:szCs w:val="22"/>
          <w:lang w:eastAsia="en-US"/>
        </w:rPr>
        <w:t>Servicios Profesionales, Científi</w:t>
      </w:r>
      <w:r w:rsidR="000876F7">
        <w:rPr>
          <w:rFonts w:ascii="Palatino Linotype" w:eastAsia="Calibri" w:hAnsi="Palatino Linotype" w:cs="Tahoma"/>
          <w:b/>
          <w:bCs/>
          <w:szCs w:val="22"/>
          <w:lang w:eastAsia="en-US"/>
        </w:rPr>
        <w:t>cos, Técnicos y Otros Servicios: Q</w:t>
      </w:r>
      <w:r w:rsidR="001A7F8B">
        <w:rPr>
          <w:rFonts w:ascii="Palatino Linotype" w:eastAsia="Calibri" w:hAnsi="Palatino Linotype" w:cs="Tahoma"/>
          <w:b/>
          <w:bCs/>
          <w:szCs w:val="22"/>
          <w:lang w:eastAsia="en-US"/>
        </w:rPr>
        <w:t xml:space="preserve">ue corresponden a las asignaciones destinadas a cubrir erogaciones por contratación de personas físicas y morales para la prestación de servicios profesionales independientes, tales como informáticos, de asesoría, consultoría, capacitación, estudios, investigaciones, protección y seguridad; así como los servicios subrogados que se contraten, los estudios de pre inversión, así como los honorarios asimilables a salarios. </w:t>
      </w:r>
      <w:r w:rsidR="001A7F8B" w:rsidRPr="001A7F8B">
        <w:rPr>
          <w:rFonts w:ascii="Palatino Linotype" w:eastAsia="Calibri" w:hAnsi="Palatino Linotype" w:cs="Tahoma"/>
          <w:bCs/>
          <w:szCs w:val="22"/>
          <w:lang w:eastAsia="en-US"/>
        </w:rPr>
        <w:t>Dicha cuenta se subdividen en las siguientes:</w:t>
      </w:r>
    </w:p>
    <w:p w14:paraId="3132B9ED" w14:textId="77777777" w:rsidR="001A7F8B" w:rsidRDefault="001A7F8B" w:rsidP="001A7F8B">
      <w:pPr>
        <w:pStyle w:val="Prrafodelista"/>
        <w:spacing w:line="360" w:lineRule="auto"/>
        <w:jc w:val="both"/>
        <w:rPr>
          <w:rFonts w:ascii="Palatino Linotype" w:eastAsia="Calibri" w:hAnsi="Palatino Linotype" w:cs="Tahoma"/>
          <w:b/>
          <w:bCs/>
          <w:szCs w:val="22"/>
          <w:lang w:eastAsia="en-US"/>
        </w:rPr>
      </w:pPr>
    </w:p>
    <w:p w14:paraId="2CC1F1AB" w14:textId="38950084" w:rsidR="00194DA1"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3310 Servicios legales, de contabilidad, auditoría y relacionados</w:t>
      </w:r>
      <w:r w:rsidR="00895FC8">
        <w:rPr>
          <w:rFonts w:ascii="Palatino Linotype" w:eastAsia="Calibri" w:hAnsi="Palatino Linotype" w:cs="Tahoma"/>
          <w:bCs/>
          <w:szCs w:val="22"/>
          <w:lang w:eastAsia="en-US"/>
        </w:rPr>
        <w:t>.</w:t>
      </w:r>
    </w:p>
    <w:p w14:paraId="7A9DA884" w14:textId="1CC712A5"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3311</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Asesorías asociadas a convenios o acuerdos.</w:t>
      </w:r>
    </w:p>
    <w:p w14:paraId="5798F38C" w14:textId="74A6EC50"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3320</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diseño, arquitectura, ingeniería y actividades relacionadas.</w:t>
      </w:r>
    </w:p>
    <w:p w14:paraId="7F86643C" w14:textId="3935BC4E" w:rsid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3321</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estadísticos y geográficos.</w:t>
      </w:r>
    </w:p>
    <w:p w14:paraId="438B96DE" w14:textId="7D18BBD2"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3330</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consultoría administrativa, procesos, técnica y en tecnologías de la información.</w:t>
      </w:r>
    </w:p>
    <w:p w14:paraId="555D458E" w14:textId="26AA3A10"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3331</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informáticos.</w:t>
      </w:r>
    </w:p>
    <w:p w14:paraId="633F40A8" w14:textId="0B749680"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3340</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capacitación</w:t>
      </w:r>
    </w:p>
    <w:p w14:paraId="003DF77A" w14:textId="3050AD78" w:rsidR="001A7F8B" w:rsidRPr="005110A6" w:rsidRDefault="001A7F8B" w:rsidP="001A7F8B">
      <w:pPr>
        <w:pStyle w:val="Prrafodelista"/>
        <w:numPr>
          <w:ilvl w:val="0"/>
          <w:numId w:val="29"/>
        </w:numPr>
        <w:spacing w:line="360" w:lineRule="auto"/>
        <w:jc w:val="both"/>
        <w:rPr>
          <w:rFonts w:ascii="Palatino Linotype" w:eastAsia="Calibri" w:hAnsi="Palatino Linotype" w:cs="Tahoma"/>
          <w:b/>
          <w:bCs/>
          <w:szCs w:val="22"/>
          <w:lang w:eastAsia="en-US"/>
        </w:rPr>
      </w:pPr>
      <w:r w:rsidRPr="005110A6">
        <w:rPr>
          <w:rFonts w:ascii="Palatino Linotype" w:eastAsia="Calibri" w:hAnsi="Palatino Linotype" w:cs="Tahoma"/>
          <w:b/>
          <w:bCs/>
          <w:szCs w:val="22"/>
          <w:lang w:eastAsia="en-US"/>
        </w:rPr>
        <w:t>3341 Capacitación. Asignaciones destinadas a cubrir el costo de los servicios profesionales por concepto de preparación e impartición de cursos de capacitación, actualización y formación académica de los servidores públicos en territorio estatal, nacional, e internacional.</w:t>
      </w:r>
    </w:p>
    <w:p w14:paraId="4485E641" w14:textId="527C28BF"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3350</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investigación científica y desarrollo.</w:t>
      </w:r>
    </w:p>
    <w:p w14:paraId="0CB2BB94" w14:textId="5D01D8B6"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3351</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investigación científica y desarrollo.</w:t>
      </w:r>
    </w:p>
    <w:p w14:paraId="677F7D75" w14:textId="47B8F065"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3360</w:t>
      </w:r>
      <w:r>
        <w:rPr>
          <w:rFonts w:ascii="Palatino Linotype" w:eastAsia="Calibri" w:hAnsi="Palatino Linotype" w:cs="Tahoma"/>
          <w:bCs/>
          <w:szCs w:val="22"/>
          <w:lang w:eastAsia="en-US"/>
        </w:rPr>
        <w:t xml:space="preserve"> S</w:t>
      </w:r>
      <w:r w:rsidRPr="001A7F8B">
        <w:rPr>
          <w:rFonts w:ascii="Palatino Linotype" w:eastAsia="Calibri" w:hAnsi="Palatino Linotype" w:cs="Tahoma"/>
          <w:bCs/>
          <w:szCs w:val="22"/>
          <w:lang w:eastAsia="en-US"/>
        </w:rPr>
        <w:t>ervicios de apoyo administrativo, traducción, fotocopiado e impresión.</w:t>
      </w:r>
    </w:p>
    <w:p w14:paraId="5D611C59" w14:textId="66B3DE11"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3361</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apoyo administrativo y fotocopiado.</w:t>
      </w:r>
    </w:p>
    <w:p w14:paraId="40147977" w14:textId="31053644"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lastRenderedPageBreak/>
        <w:t>3362</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Impresiones de documentos oficiales para la prestación de servicios públicos, identificación, formatos administrativos y fiscales, formas valoradas, certificados y títulos.</w:t>
      </w:r>
    </w:p>
    <w:p w14:paraId="351EB4AA" w14:textId="141EF6FE"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3363</w:t>
      </w:r>
      <w:r>
        <w:rPr>
          <w:rFonts w:ascii="Palatino Linotype" w:eastAsia="Calibri" w:hAnsi="Palatino Linotype" w:cs="Tahoma"/>
          <w:bCs/>
          <w:szCs w:val="22"/>
          <w:lang w:eastAsia="en-US"/>
        </w:rPr>
        <w:t xml:space="preserve"> </w:t>
      </w:r>
      <w:r w:rsidRPr="001A7F8B">
        <w:rPr>
          <w:rFonts w:ascii="Palatino Linotype" w:eastAsia="Calibri" w:hAnsi="Palatino Linotype" w:cs="Tahoma"/>
          <w:bCs/>
          <w:szCs w:val="22"/>
          <w:lang w:eastAsia="en-US"/>
        </w:rPr>
        <w:t>Servicios de impresión de documentos oficiales.</w:t>
      </w:r>
    </w:p>
    <w:p w14:paraId="52395315" w14:textId="033FA16C"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3370</w:t>
      </w:r>
      <w:r w:rsidR="005110A6">
        <w:rPr>
          <w:rFonts w:ascii="Palatino Linotype" w:eastAsia="Calibri" w:hAnsi="Palatino Linotype" w:cs="Tahoma"/>
          <w:bCs/>
          <w:szCs w:val="22"/>
          <w:lang w:eastAsia="en-US"/>
        </w:rPr>
        <w:t xml:space="preserve"> y 3371 S</w:t>
      </w:r>
      <w:r w:rsidR="005110A6" w:rsidRPr="005110A6">
        <w:rPr>
          <w:rFonts w:ascii="Palatino Linotype" w:eastAsia="Calibri" w:hAnsi="Palatino Linotype" w:cs="Tahoma"/>
          <w:bCs/>
          <w:szCs w:val="22"/>
          <w:lang w:eastAsia="en-US"/>
        </w:rPr>
        <w:t>ervicios de protección y seguridad.</w:t>
      </w:r>
    </w:p>
    <w:p w14:paraId="0B43C3FB" w14:textId="2548B6DD" w:rsidR="001A7F8B" w:rsidRP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3380</w:t>
      </w:r>
      <w:r w:rsidR="005110A6">
        <w:rPr>
          <w:rFonts w:ascii="Palatino Linotype" w:eastAsia="Calibri" w:hAnsi="Palatino Linotype" w:cs="Tahoma"/>
          <w:bCs/>
          <w:szCs w:val="22"/>
          <w:lang w:eastAsia="en-US"/>
        </w:rPr>
        <w:t xml:space="preserve"> y 3381 </w:t>
      </w:r>
      <w:r w:rsidR="005110A6" w:rsidRPr="005110A6">
        <w:rPr>
          <w:rFonts w:ascii="Palatino Linotype" w:eastAsia="Calibri" w:hAnsi="Palatino Linotype" w:cs="Tahoma"/>
          <w:bCs/>
          <w:szCs w:val="22"/>
          <w:lang w:eastAsia="en-US"/>
        </w:rPr>
        <w:t>Servicios de vigilancia.</w:t>
      </w:r>
    </w:p>
    <w:p w14:paraId="029ACB57" w14:textId="00464203" w:rsidR="001A7F8B" w:rsidRDefault="001A7F8B" w:rsidP="001A7F8B">
      <w:pPr>
        <w:pStyle w:val="Prrafodelista"/>
        <w:numPr>
          <w:ilvl w:val="0"/>
          <w:numId w:val="29"/>
        </w:numPr>
        <w:spacing w:line="360" w:lineRule="auto"/>
        <w:jc w:val="both"/>
        <w:rPr>
          <w:rFonts w:ascii="Palatino Linotype" w:eastAsia="Calibri" w:hAnsi="Palatino Linotype" w:cs="Tahoma"/>
          <w:bCs/>
          <w:szCs w:val="22"/>
          <w:lang w:eastAsia="en-US"/>
        </w:rPr>
      </w:pPr>
      <w:r w:rsidRPr="001A7F8B">
        <w:rPr>
          <w:rFonts w:ascii="Palatino Linotype" w:eastAsia="Calibri" w:hAnsi="Palatino Linotype" w:cs="Tahoma"/>
          <w:bCs/>
          <w:szCs w:val="22"/>
          <w:lang w:eastAsia="en-US"/>
        </w:rPr>
        <w:t>3390</w:t>
      </w:r>
      <w:r w:rsidR="005110A6">
        <w:rPr>
          <w:rFonts w:ascii="Palatino Linotype" w:eastAsia="Calibri" w:hAnsi="Palatino Linotype" w:cs="Tahoma"/>
          <w:bCs/>
          <w:szCs w:val="22"/>
          <w:lang w:eastAsia="en-US"/>
        </w:rPr>
        <w:t xml:space="preserve"> </w:t>
      </w:r>
      <w:r w:rsidR="005110A6" w:rsidRPr="005110A6">
        <w:rPr>
          <w:rFonts w:ascii="Palatino Linotype" w:eastAsia="Calibri" w:hAnsi="Palatino Linotype" w:cs="Tahoma"/>
          <w:bCs/>
          <w:szCs w:val="22"/>
          <w:lang w:eastAsia="en-US"/>
        </w:rPr>
        <w:t>Servicios profesionales, científicos y técnicos integrales.</w:t>
      </w:r>
    </w:p>
    <w:p w14:paraId="0B594068" w14:textId="4F1B353F" w:rsidR="001A7F8B" w:rsidRPr="005110A6" w:rsidRDefault="001A7F8B" w:rsidP="001A7F8B">
      <w:pPr>
        <w:pStyle w:val="Prrafodelista"/>
        <w:numPr>
          <w:ilvl w:val="0"/>
          <w:numId w:val="29"/>
        </w:numPr>
        <w:spacing w:line="360" w:lineRule="auto"/>
        <w:jc w:val="both"/>
        <w:rPr>
          <w:rFonts w:ascii="Palatino Linotype" w:eastAsia="Calibri" w:hAnsi="Palatino Linotype" w:cs="Tahoma"/>
          <w:b/>
          <w:bCs/>
          <w:szCs w:val="22"/>
          <w:lang w:eastAsia="en-US"/>
        </w:rPr>
      </w:pPr>
      <w:r w:rsidRPr="005110A6">
        <w:rPr>
          <w:rFonts w:ascii="Palatino Linotype" w:eastAsia="Calibri" w:hAnsi="Palatino Linotype" w:cs="Tahoma"/>
          <w:b/>
          <w:bCs/>
          <w:szCs w:val="22"/>
          <w:lang w:eastAsia="en-US"/>
        </w:rPr>
        <w:t>3391</w:t>
      </w:r>
      <w:r w:rsidR="005110A6" w:rsidRPr="005110A6">
        <w:rPr>
          <w:rFonts w:ascii="Palatino Linotype" w:eastAsia="Calibri" w:hAnsi="Palatino Linotype" w:cs="Tahoma"/>
          <w:b/>
          <w:bCs/>
          <w:szCs w:val="22"/>
          <w:lang w:eastAsia="en-US"/>
        </w:rPr>
        <w:t xml:space="preserve"> Servicios profesionales. Asignaciones destinadas a cubrir el costo de los servicios profesionales por concepto de estudios e investigaciones de carácter socioeconómico, científico, jurídico, diseño de estrategias de mercadotecnia, análisis de mercado, entre otros.</w:t>
      </w:r>
    </w:p>
    <w:p w14:paraId="05698DAB" w14:textId="77777777" w:rsidR="008B5215" w:rsidRPr="001A7F8B" w:rsidRDefault="008B5215" w:rsidP="001A7F8B">
      <w:pPr>
        <w:pStyle w:val="Prrafodelista"/>
        <w:spacing w:line="360" w:lineRule="auto"/>
        <w:ind w:left="1500"/>
        <w:jc w:val="both"/>
        <w:rPr>
          <w:rFonts w:ascii="Palatino Linotype" w:eastAsia="Calibri" w:hAnsi="Palatino Linotype" w:cs="Tahoma"/>
          <w:bCs/>
          <w:szCs w:val="22"/>
          <w:lang w:eastAsia="en-US"/>
        </w:rPr>
      </w:pPr>
    </w:p>
    <w:p w14:paraId="4F3E0995" w14:textId="52A7F7D3" w:rsidR="00194DA1" w:rsidRP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sidRPr="00194DA1">
        <w:rPr>
          <w:rFonts w:ascii="Palatino Linotype" w:eastAsia="Calibri" w:hAnsi="Palatino Linotype" w:cs="Tahoma"/>
          <w:bCs/>
          <w:szCs w:val="22"/>
          <w:lang w:eastAsia="en-US"/>
        </w:rPr>
        <w:t>3400 Servicios Financieros, Bancarios y Comerciales.</w:t>
      </w:r>
    </w:p>
    <w:p w14:paraId="10DB4328" w14:textId="3C6188C3" w:rsid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sidRPr="00194DA1">
        <w:rPr>
          <w:rFonts w:ascii="Palatino Linotype" w:eastAsia="Calibri" w:hAnsi="Palatino Linotype" w:cs="Tahoma"/>
          <w:bCs/>
          <w:szCs w:val="22"/>
          <w:lang w:eastAsia="en-US"/>
        </w:rPr>
        <w:t>3500 Servicios de Instalación, Reparación, Mantenimiento y Conservación.</w:t>
      </w:r>
    </w:p>
    <w:p w14:paraId="04C8852C" w14:textId="4E124069" w:rsid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3600 Servicios de Comunicación Social y Publicidad.</w:t>
      </w:r>
    </w:p>
    <w:p w14:paraId="21156D63" w14:textId="2F075E32" w:rsid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3700 Servicios de Traslado y Viáticos.</w:t>
      </w:r>
    </w:p>
    <w:p w14:paraId="48B57310" w14:textId="740C10EA" w:rsid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3800 Servicios Oficiales.</w:t>
      </w:r>
    </w:p>
    <w:p w14:paraId="0DF1D4A0" w14:textId="1176BC18" w:rsidR="00194DA1" w:rsidRPr="00194DA1" w:rsidRDefault="00194DA1" w:rsidP="00194DA1">
      <w:pPr>
        <w:pStyle w:val="Prrafodelista"/>
        <w:numPr>
          <w:ilvl w:val="0"/>
          <w:numId w:val="28"/>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3900 Otros Servicios Generales.</w:t>
      </w:r>
    </w:p>
    <w:p w14:paraId="56521CFC" w14:textId="77777777" w:rsidR="003938A6" w:rsidRDefault="003938A6" w:rsidP="00CC66EC">
      <w:pPr>
        <w:spacing w:line="360" w:lineRule="auto"/>
        <w:jc w:val="both"/>
        <w:rPr>
          <w:rFonts w:ascii="Palatino Linotype" w:eastAsia="Calibri" w:hAnsi="Palatino Linotype" w:cs="Tahoma"/>
          <w:bCs/>
          <w:sz w:val="22"/>
          <w:szCs w:val="22"/>
          <w:lang w:eastAsia="en-US"/>
        </w:rPr>
      </w:pPr>
    </w:p>
    <w:p w14:paraId="7FD10CE9" w14:textId="32437E27" w:rsidR="005110A6" w:rsidRDefault="005110A6" w:rsidP="00CC66EC">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Conforme a lo anterior, se advierte que si bien el Solicitante requirió la información de las partidas específicas 3341 “Capacitación” y 3391 “Servicios Profesionales”, también lo es, que estas se encuentran, entre otras, en la partida genérica también requerida, a saber, 3300 correspondiente a los </w:t>
      </w:r>
      <w:r w:rsidRPr="005110A6">
        <w:rPr>
          <w:rFonts w:ascii="Palatino Linotype" w:eastAsia="Calibri" w:hAnsi="Palatino Linotype" w:cs="Tahoma"/>
          <w:b/>
          <w:bCs/>
          <w:sz w:val="22"/>
          <w:szCs w:val="22"/>
          <w:lang w:eastAsia="en-US"/>
        </w:rPr>
        <w:t>Servicios Profesionales, Científicos, Técnicos y Otros Servicios</w:t>
      </w:r>
      <w:r>
        <w:rPr>
          <w:rFonts w:ascii="Palatino Linotype" w:eastAsia="Calibri" w:hAnsi="Palatino Linotype" w:cs="Tahoma"/>
          <w:b/>
          <w:bCs/>
          <w:sz w:val="22"/>
          <w:szCs w:val="22"/>
          <w:lang w:eastAsia="en-US"/>
        </w:rPr>
        <w:t>.</w:t>
      </w:r>
    </w:p>
    <w:p w14:paraId="78641340" w14:textId="77777777" w:rsidR="005110A6" w:rsidRDefault="005110A6" w:rsidP="00CC66EC">
      <w:pPr>
        <w:spacing w:line="360" w:lineRule="auto"/>
        <w:jc w:val="both"/>
        <w:rPr>
          <w:rFonts w:ascii="Palatino Linotype" w:eastAsia="Calibri" w:hAnsi="Palatino Linotype" w:cs="Tahoma"/>
          <w:b/>
          <w:bCs/>
          <w:sz w:val="22"/>
          <w:szCs w:val="22"/>
          <w:lang w:eastAsia="en-US"/>
        </w:rPr>
      </w:pPr>
    </w:p>
    <w:p w14:paraId="624B7A67" w14:textId="1348ACDE" w:rsidR="005110A6" w:rsidRPr="005110A6" w:rsidRDefault="005110A6"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Así, se logra desprender que el Particular requiere toda la documentación que dé cuenta de la forma en que se ocuparon los recursos públicos de la partida 3300, localizada en el Presupuesto de Egresos del Municipio de Naucalpan de Juárez, del ejercicio fiscal dos mil diecisiete.</w:t>
      </w:r>
    </w:p>
    <w:p w14:paraId="7F7327F6" w14:textId="77777777" w:rsidR="005110A6" w:rsidRDefault="005110A6" w:rsidP="00CC66EC">
      <w:pPr>
        <w:spacing w:line="360" w:lineRule="auto"/>
        <w:jc w:val="both"/>
        <w:rPr>
          <w:rFonts w:ascii="Palatino Linotype" w:eastAsia="Calibri" w:hAnsi="Palatino Linotype" w:cs="Tahoma"/>
          <w:bCs/>
          <w:sz w:val="22"/>
          <w:szCs w:val="22"/>
          <w:lang w:eastAsia="en-US"/>
        </w:rPr>
      </w:pPr>
    </w:p>
    <w:p w14:paraId="266DFC28" w14:textId="45DF722D" w:rsidR="0020015C" w:rsidRDefault="00CE23FB" w:rsidP="00BD0F8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establecido lo anterior, cabe recordar </w:t>
      </w:r>
      <w:r w:rsidR="0020015C" w:rsidRPr="00E4518F">
        <w:rPr>
          <w:rFonts w:ascii="Palatino Linotype" w:eastAsia="Calibri" w:hAnsi="Palatino Linotype" w:cs="Tahoma"/>
          <w:bCs/>
          <w:sz w:val="22"/>
          <w:szCs w:val="22"/>
          <w:lang w:eastAsia="en-US"/>
        </w:rPr>
        <w:t>que el Sujeto Obligado, turnó la solicitud en respuesta</w:t>
      </w:r>
      <w:r>
        <w:rPr>
          <w:rFonts w:ascii="Palatino Linotype" w:eastAsia="Calibri" w:hAnsi="Palatino Linotype" w:cs="Tahoma"/>
          <w:bCs/>
          <w:sz w:val="22"/>
          <w:szCs w:val="22"/>
          <w:lang w:eastAsia="en-US"/>
        </w:rPr>
        <w:t>, a la Dirección General Jurídica, mientras que</w:t>
      </w:r>
      <w:r w:rsidR="0020015C" w:rsidRPr="00E4518F">
        <w:rPr>
          <w:rFonts w:ascii="Palatino Linotype" w:eastAsia="Calibri" w:hAnsi="Palatino Linotype" w:cs="Tahoma"/>
          <w:bCs/>
          <w:sz w:val="22"/>
          <w:szCs w:val="22"/>
          <w:lang w:eastAsia="en-US"/>
        </w:rPr>
        <w:t xml:space="preserve"> durante la sustanciación del presente medio de impugnación, a la </w:t>
      </w:r>
      <w:r w:rsidR="0081066B">
        <w:rPr>
          <w:rFonts w:ascii="Palatino Linotype" w:eastAsia="Calibri" w:hAnsi="Palatino Linotype" w:cs="Tahoma"/>
          <w:bCs/>
          <w:sz w:val="22"/>
          <w:szCs w:val="22"/>
          <w:lang w:eastAsia="en-US"/>
        </w:rPr>
        <w:t xml:space="preserve">Dirección General de </w:t>
      </w:r>
      <w:r>
        <w:rPr>
          <w:rFonts w:ascii="Palatino Linotype" w:eastAsia="Calibri" w:hAnsi="Palatino Linotype" w:cs="Tahoma"/>
          <w:bCs/>
          <w:sz w:val="22"/>
          <w:szCs w:val="22"/>
          <w:lang w:eastAsia="en-US"/>
        </w:rPr>
        <w:t>Administración</w:t>
      </w:r>
      <w:r w:rsidR="0020015C" w:rsidRPr="00E4518F">
        <w:rPr>
          <w:rFonts w:ascii="Palatino Linotype" w:eastAsia="Calibri" w:hAnsi="Palatino Linotype" w:cs="Tahoma"/>
          <w:bCs/>
          <w:sz w:val="22"/>
          <w:szCs w:val="22"/>
          <w:lang w:eastAsia="en-US"/>
        </w:rPr>
        <w:t xml:space="preserve">; por lo que, es necesario hacer referencia </w:t>
      </w:r>
      <w:r w:rsidR="0020015C" w:rsidRPr="00E4518F">
        <w:rPr>
          <w:rFonts w:ascii="Palatino Linotype" w:hAnsi="Palatino Linotype" w:cs="Tahoma"/>
          <w:sz w:val="22"/>
          <w:szCs w:val="22"/>
        </w:rPr>
        <w:t xml:space="preserve">al </w:t>
      </w:r>
      <w:r w:rsidR="0020015C" w:rsidRPr="00E4518F">
        <w:rPr>
          <w:rFonts w:ascii="Palatino Linotype" w:hAnsi="Palatino Linotype" w:cs="Tahoma"/>
          <w:b/>
          <w:sz w:val="22"/>
          <w:szCs w:val="22"/>
        </w:rPr>
        <w:t>procedimiento de búsqueda que deben seguir los Sujetos Obligados para localizar la información</w:t>
      </w:r>
      <w:r w:rsidR="0020015C" w:rsidRPr="00E4518F">
        <w:rPr>
          <w:rFonts w:ascii="Palatino Linotype" w:hAnsi="Palatino Linotype" w:cs="Tahoma"/>
          <w:sz w:val="22"/>
          <w:szCs w:val="22"/>
        </w:rPr>
        <w:t>, el cual se encuentra previsto en los artículos</w:t>
      </w:r>
      <w:r w:rsidR="0020015C" w:rsidRPr="00E4518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5C025A60" w14:textId="77777777" w:rsidR="008B5215" w:rsidRPr="00E4518F" w:rsidRDefault="008B5215" w:rsidP="00633E46">
      <w:pPr>
        <w:widowControl w:val="0"/>
        <w:spacing w:line="360" w:lineRule="auto"/>
        <w:jc w:val="both"/>
        <w:rPr>
          <w:rFonts w:ascii="Palatino Linotype" w:eastAsia="Calibri" w:hAnsi="Palatino Linotype" w:cs="Tahoma"/>
          <w:bCs/>
          <w:sz w:val="22"/>
          <w:szCs w:val="22"/>
          <w:lang w:eastAsia="en-US"/>
        </w:rPr>
      </w:pPr>
    </w:p>
    <w:p w14:paraId="1C70CFF8" w14:textId="77777777" w:rsidR="0020015C" w:rsidRDefault="0020015C" w:rsidP="007E5CD5">
      <w:pPr>
        <w:widowControl w:val="0"/>
        <w:numPr>
          <w:ilvl w:val="0"/>
          <w:numId w:val="22"/>
        </w:numPr>
        <w:spacing w:line="360" w:lineRule="auto"/>
        <w:ind w:left="714" w:hanging="357"/>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D00D5B0" w14:textId="77777777" w:rsidR="00A74376" w:rsidRPr="00E4518F" w:rsidRDefault="00A74376" w:rsidP="00CC66EC">
      <w:pPr>
        <w:spacing w:line="360" w:lineRule="auto"/>
        <w:ind w:left="720"/>
        <w:jc w:val="both"/>
        <w:rPr>
          <w:rFonts w:ascii="Palatino Linotype" w:eastAsia="Calibri" w:hAnsi="Palatino Linotype" w:cs="Tahoma"/>
          <w:bCs/>
          <w:sz w:val="22"/>
          <w:szCs w:val="22"/>
          <w:lang w:val="es-ES" w:eastAsia="en-US"/>
        </w:rPr>
      </w:pPr>
    </w:p>
    <w:p w14:paraId="699DA8A1" w14:textId="79B0D957" w:rsidR="0020015C" w:rsidRPr="00E4518F" w:rsidRDefault="0020015C" w:rsidP="00CC66EC">
      <w:pPr>
        <w:numPr>
          <w:ilvl w:val="0"/>
          <w:numId w:val="22"/>
        </w:numPr>
        <w:spacing w:line="360" w:lineRule="auto"/>
        <w:jc w:val="both"/>
        <w:rPr>
          <w:rFonts w:ascii="Palatino Linotype" w:eastAsia="Calibri" w:hAnsi="Palatino Linotype" w:cs="Tahoma"/>
          <w:b/>
          <w:bCs/>
          <w:sz w:val="22"/>
          <w:szCs w:val="22"/>
          <w:lang w:eastAsia="en-US"/>
        </w:rPr>
      </w:pPr>
      <w:r w:rsidRPr="00E4518F">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05B2026" w14:textId="77777777" w:rsidR="00B27509" w:rsidRPr="00E4518F" w:rsidRDefault="00B27509" w:rsidP="00CC66EC">
      <w:pPr>
        <w:spacing w:line="360" w:lineRule="auto"/>
        <w:rPr>
          <w:rFonts w:ascii="Palatino Linotype" w:eastAsia="Calibri" w:hAnsi="Palatino Linotype" w:cs="Tahoma"/>
          <w:b/>
          <w:bCs/>
          <w:sz w:val="22"/>
          <w:szCs w:val="22"/>
          <w:lang w:eastAsia="en-US"/>
        </w:rPr>
      </w:pPr>
    </w:p>
    <w:p w14:paraId="282C0EED" w14:textId="2470A9D3" w:rsidR="00CE23FB" w:rsidRDefault="00676D6D" w:rsidP="000164E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lastRenderedPageBreak/>
        <w:t xml:space="preserve">Atentos </w:t>
      </w:r>
      <w:r w:rsidR="0020015C" w:rsidRPr="00E4518F">
        <w:rPr>
          <w:rFonts w:ascii="Palatino Linotype" w:eastAsia="Calibri" w:hAnsi="Palatino Linotype" w:cs="Tahoma"/>
          <w:bCs/>
          <w:sz w:val="22"/>
          <w:szCs w:val="22"/>
          <w:lang w:eastAsia="en-US"/>
        </w:rPr>
        <w:t xml:space="preserve">a lo dispuesto en los preceptos legales de referencia, a efecto de determinar si el Sujeto Obligado siguió el procedimiento antes descrito, es necesario citar </w:t>
      </w:r>
      <w:r w:rsidR="00B32B07">
        <w:rPr>
          <w:rFonts w:ascii="Palatino Linotype" w:eastAsia="Calibri" w:hAnsi="Palatino Linotype" w:cs="Tahoma"/>
          <w:bCs/>
          <w:sz w:val="22"/>
          <w:szCs w:val="22"/>
          <w:lang w:eastAsia="en-US"/>
        </w:rPr>
        <w:t>el Reglamento Orgánico de la Administración Pública de Naucalpan de Juárez, que establece que el Sujeto Obligado cuenta con diversas unidades administrativas para el ejercicio de sus atribuciones, entre las que se encuentran, las siguientes:</w:t>
      </w:r>
    </w:p>
    <w:p w14:paraId="1F87DF93" w14:textId="77777777" w:rsidR="00B32B07" w:rsidRDefault="00B32B07" w:rsidP="00CC66EC">
      <w:pPr>
        <w:spacing w:line="360" w:lineRule="auto"/>
        <w:jc w:val="both"/>
        <w:rPr>
          <w:rFonts w:ascii="Palatino Linotype" w:eastAsia="Calibri" w:hAnsi="Palatino Linotype" w:cs="Tahoma"/>
          <w:bCs/>
          <w:sz w:val="22"/>
          <w:szCs w:val="22"/>
          <w:lang w:eastAsia="en-US"/>
        </w:rPr>
      </w:pPr>
    </w:p>
    <w:p w14:paraId="410A51C1" w14:textId="3DB9AC65" w:rsidR="00895FC8" w:rsidRPr="008B5215" w:rsidRDefault="00895FC8" w:rsidP="00895FC8">
      <w:pPr>
        <w:pStyle w:val="Prrafodelista"/>
        <w:numPr>
          <w:ilvl w:val="0"/>
          <w:numId w:val="27"/>
        </w:numPr>
        <w:spacing w:line="360" w:lineRule="auto"/>
        <w:ind w:left="567" w:hanging="207"/>
        <w:jc w:val="both"/>
        <w:rPr>
          <w:rFonts w:ascii="Palatino Linotype" w:eastAsia="Calibri" w:hAnsi="Palatino Linotype" w:cs="Tahoma"/>
          <w:b/>
          <w:bCs/>
          <w:szCs w:val="22"/>
          <w:lang w:eastAsia="en-US"/>
        </w:rPr>
      </w:pPr>
      <w:r w:rsidRPr="00895FC8">
        <w:rPr>
          <w:rFonts w:ascii="Palatino Linotype" w:eastAsia="Calibri" w:hAnsi="Palatino Linotype" w:cs="Tahoma"/>
          <w:b/>
          <w:bCs/>
          <w:szCs w:val="22"/>
          <w:lang w:eastAsia="en-US"/>
        </w:rPr>
        <w:t>Subdirección de Normatividad y Convenios</w:t>
      </w:r>
      <w:r>
        <w:rPr>
          <w:rFonts w:ascii="Palatino Linotype" w:eastAsia="Calibri" w:hAnsi="Palatino Linotype" w:cs="Tahoma"/>
          <w:b/>
          <w:bCs/>
          <w:szCs w:val="22"/>
          <w:lang w:eastAsia="en-US"/>
        </w:rPr>
        <w:t xml:space="preserve"> (Artículo 86): </w:t>
      </w:r>
      <w:r>
        <w:rPr>
          <w:rFonts w:ascii="Palatino Linotype" w:eastAsia="Calibri" w:hAnsi="Palatino Linotype" w:cs="Tahoma"/>
          <w:bCs/>
          <w:szCs w:val="22"/>
          <w:lang w:eastAsia="en-US"/>
        </w:rPr>
        <w:t>Que elabora y revisa los convenios, contratos, acuerdos, concesiones y otros instrumentos jurídicos de los que se deriven derechos y obligaciones para el Municipio; participar, en términos de la normatividad aplicable en los procedimientos de contrataciones relativos a adquisidores, arredramientos, prestaciones de servicios y enajenaciones, así como de obra pública.</w:t>
      </w:r>
    </w:p>
    <w:p w14:paraId="6151FA7A" w14:textId="77777777" w:rsidR="008B5215" w:rsidRPr="00895FC8" w:rsidRDefault="008B5215" w:rsidP="008B5215">
      <w:pPr>
        <w:pStyle w:val="Prrafodelista"/>
        <w:spacing w:line="360" w:lineRule="auto"/>
        <w:ind w:left="567"/>
        <w:jc w:val="both"/>
        <w:rPr>
          <w:rFonts w:ascii="Palatino Linotype" w:eastAsia="Calibri" w:hAnsi="Palatino Linotype" w:cs="Tahoma"/>
          <w:b/>
          <w:bCs/>
          <w:szCs w:val="22"/>
          <w:lang w:eastAsia="en-US"/>
        </w:rPr>
      </w:pPr>
    </w:p>
    <w:p w14:paraId="1120ADC2" w14:textId="4718F03C" w:rsidR="00B32B07" w:rsidRPr="007F2822" w:rsidRDefault="00B32B07" w:rsidP="007F2822">
      <w:pPr>
        <w:pStyle w:val="Prrafodelista"/>
        <w:numPr>
          <w:ilvl w:val="0"/>
          <w:numId w:val="27"/>
        </w:numPr>
        <w:spacing w:line="360" w:lineRule="auto"/>
        <w:ind w:left="567" w:hanging="207"/>
        <w:jc w:val="both"/>
        <w:rPr>
          <w:rFonts w:ascii="Palatino Linotype" w:eastAsia="Calibri" w:hAnsi="Palatino Linotype" w:cs="Tahoma"/>
          <w:bCs/>
          <w:szCs w:val="22"/>
          <w:lang w:eastAsia="en-US"/>
        </w:rPr>
      </w:pPr>
      <w:r w:rsidRPr="007F2822">
        <w:rPr>
          <w:rFonts w:ascii="Palatino Linotype" w:eastAsia="Calibri" w:hAnsi="Palatino Linotype" w:cs="Tahoma"/>
          <w:b/>
          <w:bCs/>
          <w:szCs w:val="22"/>
          <w:lang w:eastAsia="en-US"/>
        </w:rPr>
        <w:t>Tesorería Municipal</w:t>
      </w:r>
      <w:r w:rsidR="007F2822" w:rsidRPr="007F2822">
        <w:rPr>
          <w:rFonts w:ascii="Palatino Linotype" w:eastAsia="Calibri" w:hAnsi="Palatino Linotype" w:cs="Tahoma"/>
          <w:b/>
          <w:bCs/>
          <w:szCs w:val="22"/>
          <w:lang w:eastAsia="en-US"/>
        </w:rPr>
        <w:t xml:space="preserve"> (Artículo 97 y 98)</w:t>
      </w:r>
      <w:r>
        <w:rPr>
          <w:rFonts w:ascii="Palatino Linotype" w:eastAsia="Calibri" w:hAnsi="Palatino Linotype" w:cs="Tahoma"/>
          <w:bCs/>
          <w:szCs w:val="22"/>
          <w:lang w:eastAsia="en-US"/>
        </w:rPr>
        <w:t>:</w:t>
      </w:r>
      <w:r w:rsidR="007F2822">
        <w:rPr>
          <w:rFonts w:ascii="Palatino Linotype" w:eastAsia="Calibri" w:hAnsi="Palatino Linotype" w:cs="Tahoma"/>
          <w:bCs/>
          <w:szCs w:val="22"/>
          <w:lang w:eastAsia="en-US"/>
        </w:rPr>
        <w:t xml:space="preserve"> Que se encarga de recaudar los ingresos necesarios para la operación y las inversiones públicas del Ayuntamiento; administrar la estrategia financiera para optimizar los recursos y ejercerlos conforme a la normatividad aplicable; elaborar los proyectos anuales de presupuesto de ingresos y egresos, así como en los informes de situación financiera; </w:t>
      </w:r>
      <w:r w:rsidR="007F2822">
        <w:rPr>
          <w:rFonts w:ascii="Palatino Linotype" w:eastAsia="Calibri" w:hAnsi="Palatino Linotype" w:cs="Tahoma"/>
          <w:b/>
          <w:bCs/>
          <w:szCs w:val="22"/>
          <w:lang w:eastAsia="en-US"/>
        </w:rPr>
        <w:t>planear, presupuestar, controlar y custodiar los recursos financieros del Municipio, ejerciendo el gasto conforme al presupuesto de egresos aprobado por el Ayuntamiento; llevar los registros contables, financieros y administrativos de los ingresos, egresos e inventarios; participar en la formulación de convenios; presentar la situación contable financiera de la Tesorería.</w:t>
      </w:r>
    </w:p>
    <w:p w14:paraId="530CA6CA" w14:textId="77777777" w:rsidR="007F2822" w:rsidRPr="008B5215" w:rsidRDefault="007F2822" w:rsidP="007F2822">
      <w:pPr>
        <w:spacing w:line="360" w:lineRule="auto"/>
        <w:jc w:val="both"/>
        <w:rPr>
          <w:rFonts w:ascii="Palatino Linotype" w:eastAsia="Calibri" w:hAnsi="Palatino Linotype" w:cs="Tahoma"/>
          <w:bCs/>
          <w:sz w:val="22"/>
          <w:szCs w:val="22"/>
          <w:lang w:eastAsia="en-US"/>
        </w:rPr>
      </w:pPr>
    </w:p>
    <w:p w14:paraId="3C985D07" w14:textId="5D5AFA6A" w:rsidR="00B32B07" w:rsidRDefault="007F2822" w:rsidP="007F2822">
      <w:pPr>
        <w:pStyle w:val="Prrafodelista"/>
        <w:spacing w:line="360" w:lineRule="auto"/>
        <w:ind w:lef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Para lograr, lo anterior, el Sujeto Obligad</w:t>
      </w:r>
      <w:r w:rsidR="000D4002">
        <w:rPr>
          <w:rFonts w:ascii="Palatino Linotype" w:eastAsia="Calibri" w:hAnsi="Palatino Linotype" w:cs="Tahoma"/>
          <w:bCs/>
          <w:szCs w:val="22"/>
          <w:lang w:eastAsia="en-US"/>
        </w:rPr>
        <w:t>o</w:t>
      </w:r>
      <w:r>
        <w:rPr>
          <w:rFonts w:ascii="Palatino Linotype" w:eastAsia="Calibri" w:hAnsi="Palatino Linotype" w:cs="Tahoma"/>
          <w:bCs/>
          <w:szCs w:val="22"/>
          <w:lang w:eastAsia="en-US"/>
        </w:rPr>
        <w:t xml:space="preserve"> contara con una Subsecretaría de Egresos</w:t>
      </w:r>
      <w:r w:rsidR="0089149A">
        <w:rPr>
          <w:rFonts w:ascii="Palatino Linotype" w:eastAsia="Calibri" w:hAnsi="Palatino Linotype" w:cs="Tahoma"/>
          <w:bCs/>
          <w:szCs w:val="22"/>
          <w:lang w:eastAsia="en-US"/>
        </w:rPr>
        <w:t>, que diseña, propone y coordina la política de egresos de la Tesorería, propone y supervisa las políticas, sistemas y procedimientos para la programación y presupuestación del ga</w:t>
      </w:r>
      <w:r w:rsidR="00B1039D">
        <w:rPr>
          <w:rFonts w:ascii="Palatino Linotype" w:eastAsia="Calibri" w:hAnsi="Palatino Linotype" w:cs="Tahoma"/>
          <w:bCs/>
          <w:szCs w:val="22"/>
          <w:lang w:eastAsia="en-US"/>
        </w:rPr>
        <w:t>s</w:t>
      </w:r>
      <w:r w:rsidR="0089149A">
        <w:rPr>
          <w:rFonts w:ascii="Palatino Linotype" w:eastAsia="Calibri" w:hAnsi="Palatino Linotype" w:cs="Tahoma"/>
          <w:bCs/>
          <w:szCs w:val="22"/>
          <w:lang w:eastAsia="en-US"/>
        </w:rPr>
        <w:t>to público municipal</w:t>
      </w:r>
      <w:r>
        <w:rPr>
          <w:rFonts w:ascii="Palatino Linotype" w:eastAsia="Calibri" w:hAnsi="Palatino Linotype" w:cs="Tahoma"/>
          <w:bCs/>
          <w:szCs w:val="22"/>
          <w:lang w:eastAsia="en-US"/>
        </w:rPr>
        <w:t>, que a su vez, contará con el área de Contabilidad General, Área Ramo 33, Presupuesto, Solventaciones y Subdirección de Normatividad Comercial.</w:t>
      </w:r>
    </w:p>
    <w:p w14:paraId="22C5186C" w14:textId="77777777" w:rsidR="007F2822" w:rsidRDefault="007F2822" w:rsidP="007F2822">
      <w:pPr>
        <w:pStyle w:val="Prrafodelista"/>
        <w:spacing w:line="360" w:lineRule="auto"/>
        <w:ind w:left="567"/>
        <w:jc w:val="both"/>
        <w:rPr>
          <w:rFonts w:ascii="Palatino Linotype" w:eastAsia="Calibri" w:hAnsi="Palatino Linotype" w:cs="Tahoma"/>
          <w:bCs/>
          <w:szCs w:val="22"/>
          <w:lang w:eastAsia="en-US"/>
        </w:rPr>
      </w:pPr>
    </w:p>
    <w:p w14:paraId="3C35B886" w14:textId="54104604" w:rsidR="00B32B07" w:rsidRPr="008B5215" w:rsidRDefault="00B32B07" w:rsidP="003439F0">
      <w:pPr>
        <w:pStyle w:val="Prrafodelista"/>
        <w:widowControl w:val="0"/>
        <w:numPr>
          <w:ilvl w:val="0"/>
          <w:numId w:val="27"/>
        </w:numPr>
        <w:spacing w:line="360" w:lineRule="auto"/>
        <w:ind w:left="567" w:hanging="210"/>
        <w:jc w:val="both"/>
        <w:rPr>
          <w:rFonts w:ascii="Palatino Linotype" w:eastAsia="Calibri" w:hAnsi="Palatino Linotype" w:cs="Tahoma"/>
          <w:b/>
          <w:bCs/>
          <w:szCs w:val="22"/>
          <w:lang w:eastAsia="en-US"/>
        </w:rPr>
      </w:pPr>
      <w:r w:rsidRPr="000164E6">
        <w:rPr>
          <w:rFonts w:ascii="Palatino Linotype" w:eastAsia="Calibri" w:hAnsi="Palatino Linotype" w:cs="Tahoma"/>
          <w:b/>
          <w:bCs/>
          <w:szCs w:val="22"/>
          <w:lang w:eastAsia="en-US"/>
        </w:rPr>
        <w:t>Dirección General Jurídica</w:t>
      </w:r>
      <w:r w:rsidR="00895FC8">
        <w:rPr>
          <w:rFonts w:ascii="Palatino Linotype" w:eastAsia="Calibri" w:hAnsi="Palatino Linotype" w:cs="Tahoma"/>
          <w:b/>
          <w:bCs/>
          <w:szCs w:val="22"/>
          <w:lang w:eastAsia="en-US"/>
        </w:rPr>
        <w:t xml:space="preserve"> (Artículo 379)</w:t>
      </w:r>
      <w:r w:rsidRPr="000164E6">
        <w:rPr>
          <w:rFonts w:ascii="Palatino Linotype" w:eastAsia="Calibri" w:hAnsi="Palatino Linotype" w:cs="Tahoma"/>
          <w:b/>
          <w:bCs/>
          <w:szCs w:val="22"/>
          <w:lang w:eastAsia="en-US"/>
        </w:rPr>
        <w:t>:</w:t>
      </w:r>
      <w:r w:rsidR="00895FC8">
        <w:rPr>
          <w:rFonts w:ascii="Palatino Linotype" w:eastAsia="Calibri" w:hAnsi="Palatino Linotype" w:cs="Tahoma"/>
          <w:b/>
          <w:bCs/>
          <w:szCs w:val="22"/>
          <w:lang w:eastAsia="en-US"/>
        </w:rPr>
        <w:t xml:space="preserve"> </w:t>
      </w:r>
      <w:r w:rsidR="000D4002">
        <w:rPr>
          <w:rFonts w:ascii="Palatino Linotype" w:eastAsia="Calibri" w:hAnsi="Palatino Linotype" w:cs="Tahoma"/>
          <w:bCs/>
          <w:szCs w:val="22"/>
          <w:lang w:eastAsia="en-US"/>
        </w:rPr>
        <w:t xml:space="preserve">Que presta asesoría jurídica, cuando el Presidenta Municipal así lo requiera; emitir opinión jurídica y resolver las consultas realizadas por las unidades administrativas; emitir recomendaciones de actuación jurídica a las áreas, observaciones respecto de los asuntos que sean sometidos a su consideración y atender los actos jurídicos, medios de defensa o juicios de los que tenga conocimiento. </w:t>
      </w:r>
    </w:p>
    <w:p w14:paraId="2102FFDA" w14:textId="77777777" w:rsidR="008B5215" w:rsidRPr="000164E6" w:rsidRDefault="008B5215" w:rsidP="008B5215">
      <w:pPr>
        <w:pStyle w:val="Prrafodelista"/>
        <w:widowControl w:val="0"/>
        <w:spacing w:line="360" w:lineRule="auto"/>
        <w:ind w:left="567"/>
        <w:jc w:val="both"/>
        <w:rPr>
          <w:rFonts w:ascii="Palatino Linotype" w:eastAsia="Calibri" w:hAnsi="Palatino Linotype" w:cs="Tahoma"/>
          <w:b/>
          <w:bCs/>
          <w:szCs w:val="22"/>
          <w:lang w:eastAsia="en-US"/>
        </w:rPr>
      </w:pPr>
    </w:p>
    <w:p w14:paraId="3EFC0902" w14:textId="60664BBF" w:rsidR="00CE23FB" w:rsidRDefault="005110A6" w:rsidP="00C1732A">
      <w:pPr>
        <w:pStyle w:val="Prrafodelista"/>
        <w:numPr>
          <w:ilvl w:val="0"/>
          <w:numId w:val="27"/>
        </w:numPr>
        <w:spacing w:line="360" w:lineRule="auto"/>
        <w:ind w:left="567" w:hanging="207"/>
        <w:jc w:val="both"/>
        <w:rPr>
          <w:rFonts w:ascii="Palatino Linotype" w:eastAsia="Calibri" w:hAnsi="Palatino Linotype" w:cs="Tahoma"/>
          <w:bCs/>
          <w:szCs w:val="22"/>
          <w:lang w:eastAsia="en-US"/>
        </w:rPr>
      </w:pPr>
      <w:r w:rsidRPr="000164E6">
        <w:rPr>
          <w:rFonts w:ascii="Palatino Linotype" w:eastAsia="Calibri" w:hAnsi="Palatino Linotype" w:cs="Tahoma"/>
          <w:b/>
          <w:bCs/>
          <w:szCs w:val="22"/>
          <w:lang w:eastAsia="en-US"/>
        </w:rPr>
        <w:t>Dirección General de Administración</w:t>
      </w:r>
      <w:r w:rsidR="000164E6" w:rsidRPr="000164E6">
        <w:rPr>
          <w:rFonts w:ascii="Palatino Linotype" w:eastAsia="Calibri" w:hAnsi="Palatino Linotype" w:cs="Tahoma"/>
          <w:b/>
          <w:bCs/>
          <w:szCs w:val="22"/>
          <w:lang w:eastAsia="en-US"/>
        </w:rPr>
        <w:t xml:space="preserve"> (Artículo 456)</w:t>
      </w:r>
      <w:r w:rsidRPr="000164E6">
        <w:rPr>
          <w:rFonts w:ascii="Palatino Linotype" w:eastAsia="Calibri" w:hAnsi="Palatino Linotype" w:cs="Tahoma"/>
          <w:b/>
          <w:bCs/>
          <w:szCs w:val="22"/>
          <w:lang w:eastAsia="en-US"/>
        </w:rPr>
        <w:t>:</w:t>
      </w:r>
      <w:r w:rsidR="000164E6" w:rsidRPr="000164E6">
        <w:rPr>
          <w:rFonts w:ascii="Palatino Linotype" w:eastAsia="Calibri" w:hAnsi="Palatino Linotype" w:cs="Tahoma"/>
          <w:b/>
          <w:bCs/>
          <w:szCs w:val="22"/>
          <w:lang w:eastAsia="en-US"/>
        </w:rPr>
        <w:t xml:space="preserve"> </w:t>
      </w:r>
      <w:r w:rsidR="000164E6" w:rsidRPr="000164E6">
        <w:rPr>
          <w:rFonts w:ascii="Palatino Linotype" w:eastAsia="Calibri" w:hAnsi="Palatino Linotype" w:cs="Tahoma"/>
          <w:bCs/>
          <w:szCs w:val="22"/>
          <w:lang w:eastAsia="en-US"/>
        </w:rPr>
        <w:t xml:space="preserve">Que se encarga de vigilar y supervisar </w:t>
      </w:r>
      <w:r w:rsidR="000164E6">
        <w:rPr>
          <w:rFonts w:ascii="Palatino Linotype" w:eastAsia="Calibri" w:hAnsi="Palatino Linotype" w:cs="Tahoma"/>
          <w:bCs/>
          <w:szCs w:val="22"/>
          <w:lang w:eastAsia="en-US"/>
        </w:rPr>
        <w:t xml:space="preserve"> que se suministre o facilite oportunamente a las Dependencias, los elementos  y materiales de trabajo necesarios para el desarrollo de sus funciones; vigilar y supervisar que el personal que demanden las Dependencias sea debidamente seleccionado, contratado y capacitado; supervisar la adquisición de los bienes muebles </w:t>
      </w:r>
      <w:r w:rsidR="000164E6" w:rsidRPr="000164E6">
        <w:rPr>
          <w:rFonts w:ascii="Palatino Linotype" w:eastAsia="Calibri" w:hAnsi="Palatino Linotype" w:cs="Tahoma"/>
          <w:bCs/>
          <w:szCs w:val="22"/>
          <w:lang w:eastAsia="en-US"/>
        </w:rPr>
        <w:t xml:space="preserve"> </w:t>
      </w:r>
      <w:r w:rsidR="000164E6">
        <w:rPr>
          <w:rFonts w:ascii="Palatino Linotype" w:eastAsia="Calibri" w:hAnsi="Palatino Linotype" w:cs="Tahoma"/>
          <w:bCs/>
          <w:szCs w:val="22"/>
          <w:lang w:eastAsia="en-US"/>
        </w:rPr>
        <w:t xml:space="preserve">y </w:t>
      </w:r>
      <w:r w:rsidR="000164E6" w:rsidRPr="000164E6">
        <w:rPr>
          <w:rFonts w:ascii="Palatino Linotype" w:eastAsia="Calibri" w:hAnsi="Palatino Linotype" w:cs="Tahoma"/>
          <w:b/>
          <w:bCs/>
          <w:szCs w:val="22"/>
          <w:lang w:eastAsia="en-US"/>
        </w:rPr>
        <w:t>prestación de servicios</w:t>
      </w:r>
      <w:r w:rsidR="00B7618A">
        <w:rPr>
          <w:rFonts w:ascii="Palatino Linotype" w:eastAsia="Calibri" w:hAnsi="Palatino Linotype" w:cs="Tahoma"/>
          <w:bCs/>
          <w:szCs w:val="22"/>
          <w:lang w:eastAsia="en-US"/>
        </w:rPr>
        <w:t>.</w:t>
      </w:r>
    </w:p>
    <w:p w14:paraId="4FC8CCD5" w14:textId="77777777" w:rsidR="00B7618A" w:rsidRPr="00B7618A" w:rsidRDefault="00B7618A" w:rsidP="00B7618A">
      <w:pPr>
        <w:pStyle w:val="Prrafodelista"/>
        <w:rPr>
          <w:rFonts w:ascii="Palatino Linotype" w:eastAsia="Calibri" w:hAnsi="Palatino Linotype" w:cs="Tahoma"/>
          <w:bCs/>
          <w:szCs w:val="22"/>
          <w:lang w:eastAsia="en-US"/>
        </w:rPr>
      </w:pPr>
    </w:p>
    <w:p w14:paraId="4FC54084" w14:textId="77777777" w:rsidR="00AD56A1" w:rsidRDefault="00B7618A" w:rsidP="00B7618A">
      <w:pPr>
        <w:pStyle w:val="Prrafodelista"/>
        <w:spacing w:line="360" w:lineRule="auto"/>
        <w:ind w:lef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Para lograr lo anterior, contara con la</w:t>
      </w:r>
      <w:r w:rsidR="00AD56A1">
        <w:rPr>
          <w:rFonts w:ascii="Palatino Linotype" w:eastAsia="Calibri" w:hAnsi="Palatino Linotype" w:cs="Tahoma"/>
          <w:bCs/>
          <w:szCs w:val="22"/>
          <w:lang w:eastAsia="en-US"/>
        </w:rPr>
        <w:t>s siguientes áreas:</w:t>
      </w:r>
    </w:p>
    <w:p w14:paraId="51AF7D73" w14:textId="77777777" w:rsidR="00AD56A1" w:rsidRDefault="00AD56A1" w:rsidP="00B7618A">
      <w:pPr>
        <w:pStyle w:val="Prrafodelista"/>
        <w:spacing w:line="360" w:lineRule="auto"/>
        <w:ind w:left="567"/>
        <w:jc w:val="both"/>
        <w:rPr>
          <w:rFonts w:ascii="Palatino Linotype" w:eastAsia="Calibri" w:hAnsi="Palatino Linotype" w:cs="Tahoma"/>
          <w:bCs/>
          <w:szCs w:val="22"/>
          <w:lang w:eastAsia="en-US"/>
        </w:rPr>
      </w:pPr>
    </w:p>
    <w:p w14:paraId="4F74D2D3" w14:textId="232BD6E6" w:rsidR="00B7618A" w:rsidRDefault="00B7618A" w:rsidP="00AD56A1">
      <w:pPr>
        <w:pStyle w:val="Prrafodelista"/>
        <w:numPr>
          <w:ilvl w:val="0"/>
          <w:numId w:val="30"/>
        </w:numPr>
        <w:spacing w:line="360" w:lineRule="auto"/>
        <w:jc w:val="both"/>
        <w:rPr>
          <w:rFonts w:ascii="Palatino Linotype" w:eastAsia="Calibri" w:hAnsi="Palatino Linotype" w:cs="Tahoma"/>
          <w:bCs/>
          <w:szCs w:val="22"/>
          <w:lang w:eastAsia="en-US"/>
        </w:rPr>
      </w:pPr>
      <w:r w:rsidRPr="00AD56A1">
        <w:rPr>
          <w:rFonts w:ascii="Palatino Linotype" w:eastAsia="Calibri" w:hAnsi="Palatino Linotype" w:cs="Tahoma"/>
          <w:b/>
          <w:bCs/>
          <w:szCs w:val="22"/>
          <w:lang w:eastAsia="en-US"/>
        </w:rPr>
        <w:lastRenderedPageBreak/>
        <w:t>Subdirección de Recursos Humanos</w:t>
      </w:r>
      <w:r w:rsidR="00AD56A1">
        <w:rPr>
          <w:rFonts w:ascii="Palatino Linotype" w:eastAsia="Calibri" w:hAnsi="Palatino Linotype" w:cs="Tahoma"/>
          <w:b/>
          <w:bCs/>
          <w:szCs w:val="22"/>
          <w:lang w:eastAsia="en-US"/>
        </w:rPr>
        <w:t xml:space="preserve"> (Artículo 461)</w:t>
      </w:r>
      <w:r>
        <w:rPr>
          <w:rFonts w:ascii="Palatino Linotype" w:eastAsia="Calibri" w:hAnsi="Palatino Linotype" w:cs="Tahoma"/>
          <w:bCs/>
          <w:szCs w:val="22"/>
          <w:lang w:eastAsia="en-US"/>
        </w:rPr>
        <w:t xml:space="preserve">, que </w:t>
      </w:r>
      <w:r w:rsidR="00AD56A1">
        <w:rPr>
          <w:rFonts w:ascii="Palatino Linotype" w:eastAsia="Calibri" w:hAnsi="Palatino Linotype" w:cs="Tahoma"/>
          <w:bCs/>
          <w:szCs w:val="22"/>
          <w:lang w:eastAsia="en-US"/>
        </w:rPr>
        <w:t>lleva a cabo los trámites de selección, contratación y capacitación para el personal que requieran las Dependencias.</w:t>
      </w:r>
    </w:p>
    <w:p w14:paraId="6A4DEA03" w14:textId="77777777" w:rsidR="00AD56A1" w:rsidRDefault="00AD56A1" w:rsidP="00AD56A1">
      <w:pPr>
        <w:pStyle w:val="Prrafodelista"/>
        <w:spacing w:line="360" w:lineRule="auto"/>
        <w:ind w:left="1287"/>
        <w:jc w:val="both"/>
        <w:rPr>
          <w:rFonts w:ascii="Palatino Linotype" w:eastAsia="Calibri" w:hAnsi="Palatino Linotype" w:cs="Tahoma"/>
          <w:bCs/>
          <w:szCs w:val="22"/>
          <w:lang w:eastAsia="en-US"/>
        </w:rPr>
      </w:pPr>
    </w:p>
    <w:p w14:paraId="7BAC7C5C" w14:textId="1B6D0564" w:rsidR="00AD56A1" w:rsidRDefault="00AD56A1" w:rsidP="00AD56A1">
      <w:pPr>
        <w:pStyle w:val="Prrafodelista"/>
        <w:numPr>
          <w:ilvl w:val="0"/>
          <w:numId w:val="30"/>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Subdirección de Recursos Materiales (Artículo 469)</w:t>
      </w:r>
      <w:r>
        <w:rPr>
          <w:rFonts w:ascii="Palatino Linotype" w:eastAsia="Calibri" w:hAnsi="Palatino Linotype" w:cs="Tahoma"/>
          <w:bCs/>
          <w:szCs w:val="22"/>
          <w:lang w:eastAsia="en-US"/>
        </w:rPr>
        <w:t xml:space="preserve">, que supervisa que las adquisidores de los bienes muebles y prestación de servicios solicitados por las Dependencias, cumplan con la normatividad establecida; que las unidades administrativas cumplan con la elaboración del Programa Anual Consolidado de Adquisiciones de Bienes Muebles y Prestación de Servicios; que las bienes muebles y prestación de servicios proporcionados a las áreas, cumplan con las especificaciones y normatividad vigente; lleva a cabo los procedimientos de contratación para la adquisición de bienes o prestación de servicios, con participación del a Subdirección de Normatividad y Convenios e suscribir contratos. </w:t>
      </w:r>
    </w:p>
    <w:p w14:paraId="112FC691" w14:textId="77777777" w:rsidR="00485DBF" w:rsidRDefault="00485DBF" w:rsidP="00CC66EC">
      <w:pPr>
        <w:spacing w:line="360" w:lineRule="auto"/>
        <w:jc w:val="both"/>
        <w:rPr>
          <w:rFonts w:ascii="Palatino Linotype" w:eastAsia="Calibri" w:hAnsi="Palatino Linotype" w:cs="Tahoma"/>
          <w:bCs/>
          <w:sz w:val="22"/>
          <w:szCs w:val="22"/>
          <w:lang w:eastAsia="en-US"/>
        </w:rPr>
      </w:pPr>
    </w:p>
    <w:p w14:paraId="5507D2B6" w14:textId="002EFB7F" w:rsidR="00B1039D" w:rsidRDefault="00465306" w:rsidP="00CC66EC">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Conforme a lo analizado, se advierte que el Sujeto Obligado cuenta </w:t>
      </w:r>
      <w:r w:rsidR="00B1039D">
        <w:rPr>
          <w:rFonts w:ascii="Palatino Linotype" w:eastAsia="Calibri" w:hAnsi="Palatino Linotype" w:cs="Tahoma"/>
          <w:bCs/>
          <w:sz w:val="22"/>
          <w:szCs w:val="22"/>
          <w:lang w:eastAsia="en-US"/>
        </w:rPr>
        <w:t>con varias unidades administrativas competentes para conocer de la solicitud de información, a saber, la Subdirección de Normatividad y Convenios, Tesorería Municipal y la Dirección General de Administración, a través de las Subdirecciones de Recursos Humanos y de Recursos Materiales, que se encargan de ver las cuestiones relacionadas con el Presupuesto de Egresos, las contratación de servicios y la realización de convenios o contratos.</w:t>
      </w:r>
    </w:p>
    <w:p w14:paraId="26641878" w14:textId="77777777" w:rsidR="00B1039D" w:rsidRDefault="00B1039D" w:rsidP="00CC66EC">
      <w:pPr>
        <w:spacing w:line="360" w:lineRule="auto"/>
        <w:jc w:val="both"/>
        <w:rPr>
          <w:rFonts w:ascii="Palatino Linotype" w:eastAsia="Calibri" w:hAnsi="Palatino Linotype" w:cs="Tahoma"/>
          <w:bCs/>
          <w:sz w:val="22"/>
          <w:szCs w:val="22"/>
          <w:lang w:eastAsia="en-US"/>
        </w:rPr>
      </w:pPr>
    </w:p>
    <w:p w14:paraId="35DA7E8D" w14:textId="08900DD7" w:rsidR="00CB66C7" w:rsidRDefault="00B1039D"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obstante, por lo que hace a la </w:t>
      </w:r>
      <w:r w:rsidRPr="00CB66C7">
        <w:rPr>
          <w:rFonts w:ascii="Palatino Linotype" w:eastAsia="Calibri" w:hAnsi="Palatino Linotype" w:cs="Tahoma"/>
          <w:b/>
          <w:bCs/>
          <w:sz w:val="22"/>
          <w:szCs w:val="22"/>
          <w:lang w:eastAsia="en-US"/>
        </w:rPr>
        <w:t>Dirección General Jurídica</w:t>
      </w:r>
      <w:r w:rsidR="00CB66C7">
        <w:rPr>
          <w:rFonts w:ascii="Palatino Linotype" w:eastAsia="Calibri" w:hAnsi="Palatino Linotype" w:cs="Tahoma"/>
          <w:b/>
          <w:bCs/>
          <w:sz w:val="22"/>
          <w:szCs w:val="22"/>
          <w:lang w:eastAsia="en-US"/>
        </w:rPr>
        <w:t xml:space="preserve">, </w:t>
      </w:r>
      <w:r w:rsidR="00CB66C7">
        <w:rPr>
          <w:rFonts w:ascii="Palatino Linotype" w:eastAsia="Calibri" w:hAnsi="Palatino Linotype" w:cs="Tahoma"/>
          <w:bCs/>
          <w:sz w:val="22"/>
          <w:szCs w:val="22"/>
          <w:lang w:eastAsia="en-US"/>
        </w:rPr>
        <w:t xml:space="preserve">se considera que tal como lo señaló el Particular, </w:t>
      </w:r>
      <w:r w:rsidR="00CB66C7" w:rsidRPr="00CB66C7">
        <w:rPr>
          <w:rFonts w:ascii="Palatino Linotype" w:eastAsia="Calibri" w:hAnsi="Palatino Linotype" w:cs="Tahoma"/>
          <w:b/>
          <w:bCs/>
          <w:sz w:val="22"/>
          <w:szCs w:val="22"/>
          <w:lang w:eastAsia="en-US"/>
        </w:rPr>
        <w:t>dicha unidad administrativa no tiene competencia</w:t>
      </w:r>
      <w:r w:rsidR="00CB66C7">
        <w:rPr>
          <w:rFonts w:ascii="Palatino Linotype" w:eastAsia="Calibri" w:hAnsi="Palatino Linotype" w:cs="Tahoma"/>
          <w:bCs/>
          <w:sz w:val="22"/>
          <w:szCs w:val="22"/>
          <w:lang w:eastAsia="en-US"/>
        </w:rPr>
        <w:t xml:space="preserve"> para conocer de la información requerida y por lo tanto, al ser la única unidad que se pronunció en respuesta, </w:t>
      </w:r>
      <w:r w:rsidR="00CB66C7">
        <w:rPr>
          <w:rFonts w:ascii="Palatino Linotype" w:eastAsia="Calibri" w:hAnsi="Palatino Linotype" w:cs="Tahoma"/>
          <w:bCs/>
          <w:sz w:val="22"/>
          <w:szCs w:val="22"/>
          <w:lang w:eastAsia="en-US"/>
        </w:rPr>
        <w:lastRenderedPageBreak/>
        <w:t>se advierte que incumplió con el procedimiento de búsqueda, al no turnar el requerimiento a todas las áreas, en términos del artículo 162 de la Ley de Transparencia y Acceso a la Información Pública del Estado de México y Municipios.</w:t>
      </w:r>
    </w:p>
    <w:p w14:paraId="196FB84A" w14:textId="77777777" w:rsidR="00F514A6" w:rsidRDefault="00F514A6" w:rsidP="00CC66EC">
      <w:pPr>
        <w:spacing w:line="360" w:lineRule="auto"/>
        <w:jc w:val="both"/>
        <w:rPr>
          <w:rFonts w:ascii="Palatino Linotype" w:eastAsia="Calibri" w:hAnsi="Palatino Linotype" w:cs="Tahoma"/>
          <w:bCs/>
          <w:sz w:val="22"/>
          <w:szCs w:val="22"/>
          <w:lang w:eastAsia="en-US"/>
        </w:rPr>
      </w:pPr>
    </w:p>
    <w:p w14:paraId="7CEA39DF" w14:textId="77777777" w:rsidR="003B47C6" w:rsidRDefault="00CB66C7"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otra parte cabe señalar que el Sujeto Obligado señaló que la información solicitada se encontraba en la siguiente liga electrónica </w:t>
      </w:r>
      <w:hyperlink r:id="rId11" w:history="1">
        <w:r w:rsidR="003B47C6" w:rsidRPr="005B51E9">
          <w:rPr>
            <w:rStyle w:val="Hipervnculo"/>
            <w:rFonts w:ascii="Palatino Linotype" w:eastAsia="Calibri" w:hAnsi="Palatino Linotype" w:cs="Tahoma"/>
            <w:bCs/>
            <w:sz w:val="22"/>
            <w:szCs w:val="22"/>
            <w:lang w:eastAsia="en-US"/>
          </w:rPr>
          <w:t>https://www.ipomex.org.mx/ipo/lgt/indice/naucalpan/convenios.web</w:t>
        </w:r>
      </w:hyperlink>
      <w:r w:rsidR="003B47C6">
        <w:rPr>
          <w:rFonts w:ascii="Palatino Linotype" w:eastAsia="Calibri" w:hAnsi="Palatino Linotype" w:cs="Tahoma"/>
          <w:bCs/>
          <w:sz w:val="22"/>
          <w:szCs w:val="22"/>
          <w:lang w:eastAsia="en-US"/>
        </w:rPr>
        <w:t>, de la cual se desprende lo siguiente:</w:t>
      </w:r>
    </w:p>
    <w:p w14:paraId="27A47C13" w14:textId="77777777" w:rsidR="00633E46" w:rsidRDefault="00633E46" w:rsidP="00CC66EC">
      <w:pPr>
        <w:spacing w:line="360" w:lineRule="auto"/>
        <w:jc w:val="both"/>
        <w:rPr>
          <w:rFonts w:ascii="Palatino Linotype" w:eastAsia="Calibri" w:hAnsi="Palatino Linotype" w:cs="Tahoma"/>
          <w:bCs/>
          <w:sz w:val="22"/>
          <w:szCs w:val="22"/>
          <w:lang w:eastAsia="en-US"/>
        </w:rPr>
      </w:pPr>
    </w:p>
    <w:p w14:paraId="32995250" w14:textId="7CFB2885" w:rsidR="00CB66C7" w:rsidRDefault="00B20112" w:rsidP="003B47C6">
      <w:pPr>
        <w:spacing w:line="360" w:lineRule="auto"/>
        <w:jc w:val="center"/>
        <w:rPr>
          <w:rFonts w:ascii="Palatino Linotype" w:eastAsia="Calibri" w:hAnsi="Palatino Linotype" w:cs="Tahoma"/>
          <w:b/>
          <w:bCs/>
          <w:sz w:val="22"/>
          <w:szCs w:val="22"/>
          <w:lang w:eastAsia="en-US"/>
        </w:rPr>
      </w:pPr>
      <w:r>
        <w:rPr>
          <w:noProof/>
          <w:lang w:eastAsia="es-MX"/>
        </w:rPr>
        <w:drawing>
          <wp:inline distT="0" distB="0" distL="0" distR="0" wp14:anchorId="4A4E6E47" wp14:editId="41B27BBA">
            <wp:extent cx="4962525" cy="885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3654"/>
                    <a:stretch/>
                  </pic:blipFill>
                  <pic:spPr bwMode="auto">
                    <a:xfrm>
                      <a:off x="0" y="0"/>
                      <a:ext cx="4962525" cy="885825"/>
                    </a:xfrm>
                    <a:prstGeom prst="rect">
                      <a:avLst/>
                    </a:prstGeom>
                    <a:ln>
                      <a:noFill/>
                    </a:ln>
                    <a:extLst>
                      <a:ext uri="{53640926-AAD7-44D8-BBD7-CCE9431645EC}">
                        <a14:shadowObscured xmlns:a14="http://schemas.microsoft.com/office/drawing/2010/main"/>
                      </a:ext>
                    </a:extLst>
                  </pic:spPr>
                </pic:pic>
              </a:graphicData>
            </a:graphic>
          </wp:inline>
        </w:drawing>
      </w:r>
    </w:p>
    <w:p w14:paraId="321F2970" w14:textId="77777777" w:rsidR="007E5CD5" w:rsidRDefault="007E5CD5" w:rsidP="003B47C6">
      <w:pPr>
        <w:spacing w:line="360" w:lineRule="auto"/>
        <w:jc w:val="center"/>
        <w:rPr>
          <w:rFonts w:ascii="Palatino Linotype" w:eastAsia="Calibri" w:hAnsi="Palatino Linotype" w:cs="Tahoma"/>
          <w:b/>
          <w:bCs/>
          <w:sz w:val="22"/>
          <w:szCs w:val="22"/>
          <w:lang w:eastAsia="en-US"/>
        </w:rPr>
      </w:pPr>
    </w:p>
    <w:p w14:paraId="708569ED" w14:textId="77777777" w:rsidR="007E5CD5" w:rsidRDefault="007E5CD5" w:rsidP="003B47C6">
      <w:pPr>
        <w:spacing w:line="360" w:lineRule="auto"/>
        <w:jc w:val="center"/>
        <w:rPr>
          <w:rFonts w:ascii="Palatino Linotype" w:eastAsia="Calibri" w:hAnsi="Palatino Linotype" w:cs="Tahoma"/>
          <w:b/>
          <w:bCs/>
          <w:sz w:val="22"/>
          <w:szCs w:val="22"/>
          <w:lang w:eastAsia="en-US"/>
        </w:rPr>
      </w:pPr>
    </w:p>
    <w:p w14:paraId="493DAACC" w14:textId="77777777" w:rsidR="007E5CD5" w:rsidRDefault="007E5CD5" w:rsidP="003B47C6">
      <w:pPr>
        <w:spacing w:line="360" w:lineRule="auto"/>
        <w:jc w:val="center"/>
        <w:rPr>
          <w:rFonts w:ascii="Palatino Linotype" w:eastAsia="Calibri" w:hAnsi="Palatino Linotype" w:cs="Tahoma"/>
          <w:b/>
          <w:bCs/>
          <w:sz w:val="22"/>
          <w:szCs w:val="22"/>
          <w:lang w:eastAsia="en-US"/>
        </w:rPr>
      </w:pPr>
    </w:p>
    <w:p w14:paraId="7647E808" w14:textId="7A5FE5EC" w:rsidR="008B5215" w:rsidRDefault="008B5215" w:rsidP="003B47C6">
      <w:pPr>
        <w:spacing w:line="360" w:lineRule="auto"/>
        <w:jc w:val="center"/>
        <w:rPr>
          <w:rFonts w:ascii="Palatino Linotype" w:eastAsia="Calibri" w:hAnsi="Palatino Linotype" w:cs="Tahoma"/>
          <w:b/>
          <w:bCs/>
          <w:sz w:val="22"/>
          <w:szCs w:val="22"/>
          <w:lang w:eastAsia="en-US"/>
        </w:rPr>
      </w:pPr>
      <w:r>
        <w:rPr>
          <w:noProof/>
          <w:lang w:eastAsia="es-MX"/>
        </w:rPr>
        <w:drawing>
          <wp:inline distT="0" distB="0" distL="0" distR="0" wp14:anchorId="4C04851F" wp14:editId="73594DDC">
            <wp:extent cx="4962525" cy="1266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7592" b="14731"/>
                    <a:stretch/>
                  </pic:blipFill>
                  <pic:spPr bwMode="auto">
                    <a:xfrm>
                      <a:off x="0" y="0"/>
                      <a:ext cx="4962525" cy="1266825"/>
                    </a:xfrm>
                    <a:prstGeom prst="rect">
                      <a:avLst/>
                    </a:prstGeom>
                    <a:ln>
                      <a:noFill/>
                    </a:ln>
                    <a:extLst>
                      <a:ext uri="{53640926-AAD7-44D8-BBD7-CCE9431645EC}">
                        <a14:shadowObscured xmlns:a14="http://schemas.microsoft.com/office/drawing/2010/main"/>
                      </a:ext>
                    </a:extLst>
                  </pic:spPr>
                </pic:pic>
              </a:graphicData>
            </a:graphic>
          </wp:inline>
        </w:drawing>
      </w:r>
    </w:p>
    <w:p w14:paraId="39D0F307" w14:textId="77777777" w:rsidR="00CB66C7" w:rsidRPr="00CB66C7" w:rsidRDefault="00CB66C7" w:rsidP="00CC66EC">
      <w:pPr>
        <w:spacing w:line="360" w:lineRule="auto"/>
        <w:jc w:val="both"/>
        <w:rPr>
          <w:rFonts w:ascii="Palatino Linotype" w:eastAsia="Calibri" w:hAnsi="Palatino Linotype" w:cs="Tahoma"/>
          <w:b/>
          <w:bCs/>
          <w:sz w:val="22"/>
          <w:szCs w:val="22"/>
          <w:lang w:eastAsia="en-US"/>
        </w:rPr>
      </w:pPr>
    </w:p>
    <w:p w14:paraId="2572DBC7" w14:textId="7B36E978" w:rsidR="00B1039D" w:rsidRDefault="003B47C6"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al entrar a la información concerniente al dos mil diecisiete, se advierte que se publicaron mil doscientos noventa actos jurídicos, concernientes a contratos individuales de trabajo, de prestación de diversos servicios</w:t>
      </w:r>
      <w:r w:rsidR="003439F0">
        <w:rPr>
          <w:rFonts w:ascii="Palatino Linotype" w:eastAsia="Calibri" w:hAnsi="Palatino Linotype" w:cs="Tahoma"/>
          <w:bCs/>
          <w:sz w:val="22"/>
          <w:szCs w:val="22"/>
          <w:lang w:eastAsia="en-US"/>
        </w:rPr>
        <w:t xml:space="preserve">, de arrendamientos y de comodatos; así como, </w:t>
      </w:r>
      <w:r w:rsidR="003439F0">
        <w:rPr>
          <w:rFonts w:ascii="Palatino Linotype" w:eastAsia="Calibri" w:hAnsi="Palatino Linotype" w:cs="Tahoma"/>
          <w:bCs/>
          <w:sz w:val="22"/>
          <w:szCs w:val="22"/>
          <w:lang w:eastAsia="en-US"/>
        </w:rPr>
        <w:lastRenderedPageBreak/>
        <w:t>convenios de afiliación, de coordinación, de colaboración y de participación, entre otros</w:t>
      </w:r>
      <w:r>
        <w:rPr>
          <w:rFonts w:ascii="Palatino Linotype" w:eastAsia="Calibri" w:hAnsi="Palatino Linotype" w:cs="Tahoma"/>
          <w:bCs/>
          <w:sz w:val="22"/>
          <w:szCs w:val="22"/>
          <w:lang w:eastAsia="en-US"/>
        </w:rPr>
        <w:t>, mismo que incluye los contratos respectivos, tal como se muestra en el siguiente ejemplo:</w:t>
      </w:r>
    </w:p>
    <w:p w14:paraId="440CE6B6" w14:textId="63B382B0" w:rsidR="008B5215" w:rsidRDefault="008A6ED1"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8A9866E" wp14:editId="38292CE9">
                <wp:simplePos x="0" y="0"/>
                <wp:positionH relativeFrom="column">
                  <wp:posOffset>-113031</wp:posOffset>
                </wp:positionH>
                <wp:positionV relativeFrom="paragraph">
                  <wp:posOffset>238760</wp:posOffset>
                </wp:positionV>
                <wp:extent cx="5915025" cy="13620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915025"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E3736" id="Conector recto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9pt,18.8pt" to="456.85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" strokecolor="#4472c4 [3204]" strokeweight=".5pt">
                <v:stroke joinstyle="miter"/>
              </v:line>
            </w:pict>
          </mc:Fallback>
        </mc:AlternateContent>
      </w:r>
    </w:p>
    <w:p w14:paraId="79515ABD" w14:textId="30601776" w:rsidR="003B47C6" w:rsidRDefault="003B47C6" w:rsidP="003B47C6">
      <w:pPr>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7170CB80" wp14:editId="78A70032">
            <wp:extent cx="4334510" cy="24193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29076"/>
                    <a:stretch/>
                  </pic:blipFill>
                  <pic:spPr bwMode="auto">
                    <a:xfrm>
                      <a:off x="0" y="0"/>
                      <a:ext cx="4416628" cy="2465185"/>
                    </a:xfrm>
                    <a:prstGeom prst="rect">
                      <a:avLst/>
                    </a:prstGeom>
                    <a:ln>
                      <a:noFill/>
                    </a:ln>
                    <a:extLst>
                      <a:ext uri="{53640926-AAD7-44D8-BBD7-CCE9431645EC}">
                        <a14:shadowObscured xmlns:a14="http://schemas.microsoft.com/office/drawing/2010/main"/>
                      </a:ext>
                    </a:extLst>
                  </pic:spPr>
                </pic:pic>
              </a:graphicData>
            </a:graphic>
          </wp:inline>
        </w:drawing>
      </w:r>
    </w:p>
    <w:p w14:paraId="2ED8F7F6" w14:textId="77777777" w:rsidR="003439F0" w:rsidRDefault="003439F0" w:rsidP="003B47C6">
      <w:pPr>
        <w:spacing w:line="360" w:lineRule="auto"/>
        <w:jc w:val="center"/>
        <w:rPr>
          <w:rFonts w:ascii="Palatino Linotype" w:eastAsia="Calibri" w:hAnsi="Palatino Linotype" w:cs="Tahoma"/>
          <w:bCs/>
          <w:sz w:val="22"/>
          <w:szCs w:val="22"/>
          <w:lang w:eastAsia="en-US"/>
        </w:rPr>
      </w:pPr>
    </w:p>
    <w:p w14:paraId="42663451" w14:textId="4F144890" w:rsidR="00B1039D" w:rsidRDefault="00C1732A" w:rsidP="00C1732A">
      <w:pPr>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5830A177" wp14:editId="7485D09C">
            <wp:extent cx="4334400" cy="2486532"/>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34400" cy="2486532"/>
                    </a:xfrm>
                    <a:prstGeom prst="rect">
                      <a:avLst/>
                    </a:prstGeom>
                  </pic:spPr>
                </pic:pic>
              </a:graphicData>
            </a:graphic>
          </wp:inline>
        </w:drawing>
      </w:r>
    </w:p>
    <w:p w14:paraId="1450F819" w14:textId="23C96097" w:rsidR="00C1732A" w:rsidRDefault="00C1732A" w:rsidP="00CC66EC">
      <w:pPr>
        <w:spacing w:line="360" w:lineRule="auto"/>
        <w:jc w:val="both"/>
        <w:rPr>
          <w:rFonts w:ascii="Palatino Linotype" w:eastAsia="Calibri" w:hAnsi="Palatino Linotype" w:cs="Tahoma"/>
          <w:bCs/>
          <w:sz w:val="22"/>
          <w:szCs w:val="22"/>
          <w:lang w:eastAsia="en-US"/>
        </w:rPr>
      </w:pPr>
    </w:p>
    <w:p w14:paraId="7F82FC5E" w14:textId="0D67E77B" w:rsidR="00C1732A" w:rsidRDefault="00F840C9"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Una vez analizados cada uno </w:t>
      </w:r>
      <w:r w:rsidR="003439F0">
        <w:rPr>
          <w:rFonts w:ascii="Palatino Linotype" w:eastAsia="Calibri" w:hAnsi="Palatino Linotype" w:cs="Tahoma"/>
          <w:bCs/>
          <w:sz w:val="22"/>
          <w:szCs w:val="22"/>
          <w:lang w:eastAsia="en-US"/>
        </w:rPr>
        <w:t>cada uno de los actos jurídicos</w:t>
      </w:r>
      <w:r>
        <w:rPr>
          <w:rFonts w:ascii="Palatino Linotype" w:eastAsia="Calibri" w:hAnsi="Palatino Linotype" w:cs="Tahoma"/>
          <w:bCs/>
          <w:sz w:val="22"/>
          <w:szCs w:val="22"/>
          <w:lang w:eastAsia="en-US"/>
        </w:rPr>
        <w:t xml:space="preserve">, se advirtió que si bien todos fueron celebrados en el dos mil diecisiete y que </w:t>
      </w:r>
      <w:r w:rsidR="003439F0">
        <w:rPr>
          <w:rFonts w:ascii="Palatino Linotype" w:eastAsia="Calibri" w:hAnsi="Palatino Linotype" w:cs="Tahoma"/>
          <w:bCs/>
          <w:sz w:val="22"/>
          <w:szCs w:val="22"/>
          <w:lang w:eastAsia="en-US"/>
        </w:rPr>
        <w:t xml:space="preserve">algunos corresponden </w:t>
      </w:r>
      <w:r>
        <w:rPr>
          <w:rFonts w:ascii="Palatino Linotype" w:eastAsia="Calibri" w:hAnsi="Palatino Linotype" w:cs="Tahoma"/>
          <w:bCs/>
          <w:sz w:val="22"/>
          <w:szCs w:val="22"/>
          <w:lang w:eastAsia="en-US"/>
        </w:rPr>
        <w:t>contratos de prestación de servicios profesionales y contratación de servicios, también lo es</w:t>
      </w:r>
      <w:r w:rsidR="003439F0">
        <w:rPr>
          <w:rFonts w:ascii="Palatino Linotype" w:eastAsia="Calibri" w:hAnsi="Palatino Linotype" w:cs="Tahoma"/>
          <w:bCs/>
          <w:sz w:val="22"/>
          <w:szCs w:val="22"/>
          <w:lang w:eastAsia="en-US"/>
        </w:rPr>
        <w:t xml:space="preserve"> que no todos guardan relación con lo solicitado; además</w:t>
      </w:r>
      <w:r>
        <w:rPr>
          <w:rFonts w:ascii="Palatino Linotype" w:eastAsia="Calibri" w:hAnsi="Palatino Linotype" w:cs="Tahoma"/>
          <w:bCs/>
          <w:sz w:val="22"/>
          <w:szCs w:val="22"/>
          <w:lang w:eastAsia="en-US"/>
        </w:rPr>
        <w:t xml:space="preserve"> que no precisó cuáles de estos actos fueron pagados con la partida genérica 3300</w:t>
      </w:r>
      <w:r w:rsidR="000876F7">
        <w:rPr>
          <w:rFonts w:ascii="Palatino Linotype" w:eastAsia="Calibri" w:hAnsi="Palatino Linotype" w:cs="Tahoma"/>
          <w:bCs/>
          <w:sz w:val="22"/>
          <w:szCs w:val="22"/>
          <w:lang w:eastAsia="en-US"/>
        </w:rPr>
        <w:t xml:space="preserve"> </w:t>
      </w:r>
      <w:r w:rsidR="000876F7" w:rsidRPr="000876F7">
        <w:rPr>
          <w:rFonts w:ascii="Palatino Linotype" w:eastAsia="Calibri" w:hAnsi="Palatino Linotype" w:cs="Tahoma"/>
          <w:bCs/>
          <w:sz w:val="22"/>
          <w:szCs w:val="22"/>
          <w:lang w:eastAsia="en-US"/>
        </w:rPr>
        <w:t>Servicios Profesionales, Científicos, Técnicos y Otros Servicios</w:t>
      </w:r>
      <w:r w:rsidR="000876F7">
        <w:rPr>
          <w:rFonts w:ascii="Palatino Linotype" w:eastAsia="Calibri" w:hAnsi="Palatino Linotype" w:cs="Tahoma"/>
          <w:bCs/>
          <w:sz w:val="22"/>
          <w:szCs w:val="22"/>
          <w:lang w:eastAsia="en-US"/>
        </w:rPr>
        <w:t>; por lo que, no se tiene certeza que la información proporcionada corresponda con solicitado y por lo tanto, no se puede validar la información entregada por el Portal de Información Pública de Oficio Mexiquense</w:t>
      </w:r>
      <w:r w:rsidR="001D2EF7">
        <w:rPr>
          <w:rFonts w:ascii="Palatino Linotype" w:eastAsia="Calibri" w:hAnsi="Palatino Linotype" w:cs="Tahoma"/>
          <w:bCs/>
          <w:sz w:val="22"/>
          <w:szCs w:val="22"/>
          <w:lang w:eastAsia="en-US"/>
        </w:rPr>
        <w:t xml:space="preserve"> (IPOMEX)</w:t>
      </w:r>
      <w:r w:rsidR="000876F7">
        <w:rPr>
          <w:rFonts w:ascii="Palatino Linotype" w:eastAsia="Calibri" w:hAnsi="Palatino Linotype" w:cs="Tahoma"/>
          <w:bCs/>
          <w:sz w:val="22"/>
          <w:szCs w:val="22"/>
          <w:lang w:eastAsia="en-US"/>
        </w:rPr>
        <w:t>.</w:t>
      </w:r>
    </w:p>
    <w:p w14:paraId="142AEAE7" w14:textId="77777777" w:rsidR="000876F7" w:rsidRDefault="000876F7" w:rsidP="00CC66EC">
      <w:pPr>
        <w:spacing w:line="360" w:lineRule="auto"/>
        <w:jc w:val="both"/>
        <w:rPr>
          <w:rFonts w:ascii="Palatino Linotype" w:eastAsia="Calibri" w:hAnsi="Palatino Linotype" w:cs="Tahoma"/>
          <w:bCs/>
          <w:sz w:val="22"/>
          <w:szCs w:val="22"/>
          <w:lang w:eastAsia="en-US"/>
        </w:rPr>
      </w:pPr>
    </w:p>
    <w:p w14:paraId="4D82653A" w14:textId="6E60807A" w:rsidR="000876F7" w:rsidRDefault="000876F7"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de lo anterior, </w:t>
      </w:r>
      <w:r w:rsidR="000A3BF3">
        <w:rPr>
          <w:rFonts w:ascii="Palatino Linotype" w:eastAsia="Calibri" w:hAnsi="Palatino Linotype" w:cs="Tahoma"/>
          <w:bCs/>
          <w:sz w:val="22"/>
          <w:szCs w:val="22"/>
          <w:lang w:eastAsia="en-US"/>
        </w:rPr>
        <w:t xml:space="preserve">cabe señalar que los contratos localizados en dicho Sistema se encuentran en versión pública; sin embargo, se dejó visible la Clave Única de Registro de Población de </w:t>
      </w:r>
      <w:r w:rsidR="000A3BF3" w:rsidRPr="00652CFA">
        <w:rPr>
          <w:rFonts w:ascii="Palatino Linotype" w:eastAsia="Calibri" w:hAnsi="Palatino Linotype" w:cs="Tahoma"/>
          <w:b/>
          <w:bCs/>
          <w:sz w:val="22"/>
          <w:szCs w:val="22"/>
          <w:lang w:eastAsia="en-US"/>
        </w:rPr>
        <w:t>personas físicas</w:t>
      </w:r>
      <w:r w:rsidR="000A3BF3">
        <w:rPr>
          <w:rFonts w:ascii="Palatino Linotype" w:eastAsia="Calibri" w:hAnsi="Palatino Linotype" w:cs="Tahoma"/>
          <w:bCs/>
          <w:sz w:val="22"/>
          <w:szCs w:val="22"/>
          <w:lang w:eastAsia="en-US"/>
        </w:rPr>
        <w:t>, mismo que es clasificado, en términos del artículo 143, fracción I de la Ley de Transparencia y Acceso a la Información Pública del Estado de México y Municipios y se testaron datos</w:t>
      </w:r>
      <w:r w:rsidR="00652CFA">
        <w:rPr>
          <w:rFonts w:ascii="Palatino Linotype" w:eastAsia="Calibri" w:hAnsi="Palatino Linotype" w:cs="Tahoma"/>
          <w:bCs/>
          <w:sz w:val="22"/>
          <w:szCs w:val="22"/>
          <w:lang w:eastAsia="en-US"/>
        </w:rPr>
        <w:t xml:space="preserve"> que son de naturaleza pública</w:t>
      </w:r>
      <w:r w:rsidR="000A3BF3">
        <w:rPr>
          <w:rFonts w:ascii="Palatino Linotype" w:eastAsia="Calibri" w:hAnsi="Palatino Linotype" w:cs="Tahoma"/>
          <w:bCs/>
          <w:sz w:val="22"/>
          <w:szCs w:val="22"/>
          <w:lang w:eastAsia="en-US"/>
        </w:rPr>
        <w:t xml:space="preserve"> de </w:t>
      </w:r>
      <w:r w:rsidR="000A3BF3" w:rsidRPr="00652CFA">
        <w:rPr>
          <w:rFonts w:ascii="Palatino Linotype" w:eastAsia="Calibri" w:hAnsi="Palatino Linotype" w:cs="Tahoma"/>
          <w:b/>
          <w:bCs/>
          <w:sz w:val="22"/>
          <w:szCs w:val="22"/>
          <w:lang w:eastAsia="en-US"/>
        </w:rPr>
        <w:t>personas morales</w:t>
      </w:r>
      <w:r w:rsidR="000A3BF3">
        <w:rPr>
          <w:rFonts w:ascii="Palatino Linotype" w:eastAsia="Calibri" w:hAnsi="Palatino Linotype" w:cs="Tahoma"/>
          <w:bCs/>
          <w:sz w:val="22"/>
          <w:szCs w:val="22"/>
          <w:lang w:eastAsia="en-US"/>
        </w:rPr>
        <w:t>, tales</w:t>
      </w:r>
      <w:r w:rsidR="007F33C1">
        <w:rPr>
          <w:rFonts w:ascii="Palatino Linotype" w:eastAsia="Calibri" w:hAnsi="Palatino Linotype" w:cs="Tahoma"/>
          <w:bCs/>
          <w:sz w:val="22"/>
          <w:szCs w:val="22"/>
          <w:lang w:eastAsia="en-US"/>
        </w:rPr>
        <w:t xml:space="preserve"> como</w:t>
      </w:r>
      <w:r w:rsidR="000A3BF3">
        <w:rPr>
          <w:rFonts w:ascii="Palatino Linotype" w:eastAsia="Calibri" w:hAnsi="Palatino Linotype" w:cs="Tahoma"/>
          <w:bCs/>
          <w:sz w:val="22"/>
          <w:szCs w:val="22"/>
          <w:lang w:eastAsia="en-US"/>
        </w:rPr>
        <w:t xml:space="preserve"> el nombre del apoderado legal, número de escritura pública, fecha de la misma, nombre del notario, el número de la notaria, el Reg</w:t>
      </w:r>
      <w:r w:rsidR="004B6F2D">
        <w:rPr>
          <w:rFonts w:ascii="Palatino Linotype" w:eastAsia="Calibri" w:hAnsi="Palatino Linotype" w:cs="Tahoma"/>
          <w:bCs/>
          <w:sz w:val="22"/>
          <w:szCs w:val="22"/>
          <w:lang w:eastAsia="en-US"/>
        </w:rPr>
        <w:t>istro Federal de Contribuyentes,</w:t>
      </w:r>
      <w:r w:rsidR="000A3BF3">
        <w:rPr>
          <w:rFonts w:ascii="Palatino Linotype" w:eastAsia="Calibri" w:hAnsi="Palatino Linotype" w:cs="Tahoma"/>
          <w:bCs/>
          <w:sz w:val="22"/>
          <w:szCs w:val="22"/>
          <w:lang w:eastAsia="en-US"/>
        </w:rPr>
        <w:t xml:space="preserve"> el domicilio Fiscal y la clave del Registro Público de la Propiedad</w:t>
      </w:r>
      <w:r w:rsidR="009E2DE4">
        <w:rPr>
          <w:rFonts w:ascii="Palatino Linotype" w:eastAsia="Calibri" w:hAnsi="Palatino Linotype" w:cs="Tahoma"/>
          <w:bCs/>
          <w:sz w:val="22"/>
          <w:szCs w:val="22"/>
          <w:lang w:eastAsia="en-US"/>
        </w:rPr>
        <w:t>, adicional a que</w:t>
      </w:r>
      <w:r w:rsidR="00652CFA">
        <w:rPr>
          <w:rFonts w:ascii="Palatino Linotype" w:eastAsia="Calibri" w:hAnsi="Palatino Linotype" w:cs="Tahoma"/>
          <w:bCs/>
          <w:sz w:val="22"/>
          <w:szCs w:val="22"/>
          <w:lang w:eastAsia="en-US"/>
        </w:rPr>
        <w:t xml:space="preserve"> no </w:t>
      </w:r>
      <w:r w:rsidR="009E2DE4">
        <w:rPr>
          <w:rFonts w:ascii="Palatino Linotype" w:eastAsia="Calibri" w:hAnsi="Palatino Linotype" w:cs="Tahoma"/>
          <w:bCs/>
          <w:sz w:val="22"/>
          <w:szCs w:val="22"/>
          <w:lang w:eastAsia="en-US"/>
        </w:rPr>
        <w:t xml:space="preserve">se adjunta </w:t>
      </w:r>
      <w:r w:rsidR="00652CFA">
        <w:rPr>
          <w:rFonts w:ascii="Palatino Linotype" w:eastAsia="Calibri" w:hAnsi="Palatino Linotype" w:cs="Tahoma"/>
          <w:bCs/>
          <w:sz w:val="22"/>
          <w:szCs w:val="22"/>
          <w:lang w:eastAsia="en-US"/>
        </w:rPr>
        <w:t>el Acuerdo del Comité de Transparencia, donde haya confirmado la clasificación de la información</w:t>
      </w:r>
      <w:r w:rsidR="009E2DE4">
        <w:rPr>
          <w:rFonts w:ascii="Palatino Linotype" w:eastAsia="Calibri" w:hAnsi="Palatino Linotype" w:cs="Tahoma"/>
          <w:bCs/>
          <w:sz w:val="22"/>
          <w:szCs w:val="22"/>
          <w:lang w:eastAsia="en-US"/>
        </w:rPr>
        <w:t xml:space="preserve"> de referencia</w:t>
      </w:r>
      <w:r w:rsidR="00652CFA">
        <w:rPr>
          <w:rFonts w:ascii="Palatino Linotype" w:eastAsia="Calibri" w:hAnsi="Palatino Linotype" w:cs="Tahoma"/>
          <w:bCs/>
          <w:sz w:val="22"/>
          <w:szCs w:val="22"/>
          <w:lang w:eastAsia="en-US"/>
        </w:rPr>
        <w:t>.</w:t>
      </w:r>
    </w:p>
    <w:p w14:paraId="0C5BB91B" w14:textId="77777777" w:rsidR="00652CFA" w:rsidRDefault="00652CFA" w:rsidP="00CC66EC">
      <w:pPr>
        <w:spacing w:line="360" w:lineRule="auto"/>
        <w:jc w:val="both"/>
        <w:rPr>
          <w:rFonts w:ascii="Palatino Linotype" w:eastAsia="Calibri" w:hAnsi="Palatino Linotype" w:cs="Tahoma"/>
          <w:bCs/>
          <w:sz w:val="22"/>
          <w:szCs w:val="22"/>
          <w:lang w:eastAsia="en-US"/>
        </w:rPr>
      </w:pPr>
    </w:p>
    <w:p w14:paraId="5F18A63F" w14:textId="11FFD92F" w:rsidR="00C1732A" w:rsidRDefault="00652CFA" w:rsidP="00CC66E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tales circunstancias, se considera que el agravio hecho valer por el ahora Recurrente</w:t>
      </w:r>
      <w:r w:rsidR="00954D38">
        <w:rPr>
          <w:rFonts w:ascii="Palatino Linotype" w:eastAsia="Calibri" w:hAnsi="Palatino Linotype" w:cs="Tahoma"/>
          <w:bCs/>
          <w:sz w:val="22"/>
          <w:szCs w:val="22"/>
          <w:lang w:eastAsia="en-US"/>
        </w:rPr>
        <w:t xml:space="preserve"> es </w:t>
      </w:r>
      <w:r w:rsidR="00954D38">
        <w:rPr>
          <w:rFonts w:ascii="Palatino Linotype" w:eastAsia="Calibri" w:hAnsi="Palatino Linotype" w:cs="Tahoma"/>
          <w:b/>
          <w:bCs/>
          <w:sz w:val="22"/>
          <w:szCs w:val="22"/>
          <w:lang w:eastAsia="en-US"/>
        </w:rPr>
        <w:t xml:space="preserve">FUNDADO, </w:t>
      </w:r>
      <w:r w:rsidR="00954D38">
        <w:rPr>
          <w:rFonts w:ascii="Palatino Linotype" w:eastAsia="Calibri" w:hAnsi="Palatino Linotype" w:cs="Tahoma"/>
          <w:bCs/>
          <w:sz w:val="22"/>
          <w:szCs w:val="22"/>
          <w:lang w:eastAsia="en-US"/>
        </w:rPr>
        <w:t xml:space="preserve">toda vez que el Sujeto Obligado no turnó el requerimiento informativo a todas las áreas competentes para conocer de la información, como puede ser la Tesorería Municipal, la Dirección General de Administración, a través de las Subdirecciones de Recursos Humanos y de Recursos Materiales y la </w:t>
      </w:r>
      <w:r w:rsidR="00954D38" w:rsidRPr="00954D38">
        <w:rPr>
          <w:rFonts w:ascii="Palatino Linotype" w:eastAsia="Calibri" w:hAnsi="Palatino Linotype" w:cs="Tahoma"/>
          <w:bCs/>
          <w:sz w:val="22"/>
          <w:szCs w:val="22"/>
          <w:lang w:eastAsia="en-US"/>
        </w:rPr>
        <w:t xml:space="preserve">Subdirección de Normatividad y </w:t>
      </w:r>
      <w:r w:rsidR="00954D38" w:rsidRPr="00954D38">
        <w:rPr>
          <w:rFonts w:ascii="Palatino Linotype" w:eastAsia="Calibri" w:hAnsi="Palatino Linotype" w:cs="Tahoma"/>
          <w:bCs/>
          <w:sz w:val="22"/>
          <w:szCs w:val="22"/>
          <w:lang w:eastAsia="en-US"/>
        </w:rPr>
        <w:lastRenderedPageBreak/>
        <w:t>Convenios</w:t>
      </w:r>
      <w:r w:rsidR="00954D38">
        <w:rPr>
          <w:rFonts w:ascii="Palatino Linotype" w:eastAsia="Calibri" w:hAnsi="Palatino Linotype" w:cs="Tahoma"/>
          <w:bCs/>
          <w:sz w:val="22"/>
          <w:szCs w:val="22"/>
          <w:lang w:eastAsia="en-US"/>
        </w:rPr>
        <w:t>; además, que no señaló si la información localizada en el Portal de Información Pública de Oficio Mexiquense, correspondía a la partida genérica 3300 del Presupuesto de Egresos, del dos mil diecisiete.</w:t>
      </w:r>
    </w:p>
    <w:p w14:paraId="26B709FA" w14:textId="77777777" w:rsidR="00BD0F82" w:rsidRDefault="00BD0F82" w:rsidP="00CC66EC">
      <w:pPr>
        <w:spacing w:line="360" w:lineRule="auto"/>
        <w:jc w:val="both"/>
        <w:rPr>
          <w:rFonts w:ascii="Palatino Linotype" w:hAnsi="Palatino Linotype" w:cs="Tahoma"/>
          <w:b/>
          <w:sz w:val="22"/>
        </w:rPr>
      </w:pPr>
    </w:p>
    <w:p w14:paraId="46A20EF1" w14:textId="34435693" w:rsidR="00C147A6" w:rsidRDefault="004B6F2D" w:rsidP="00CC66EC">
      <w:pPr>
        <w:spacing w:line="360" w:lineRule="auto"/>
        <w:jc w:val="both"/>
        <w:rPr>
          <w:rFonts w:ascii="Palatino Linotype" w:hAnsi="Palatino Linotype" w:cs="Tahoma"/>
          <w:sz w:val="22"/>
        </w:rPr>
      </w:pPr>
      <w:r>
        <w:rPr>
          <w:rFonts w:ascii="Palatino Linotype" w:hAnsi="Palatino Linotype" w:cs="Tahoma"/>
          <w:sz w:val="22"/>
        </w:rPr>
        <w:t xml:space="preserve">Conforme a lo anterior, se </w:t>
      </w:r>
      <w:r w:rsidR="00694B83">
        <w:rPr>
          <w:rFonts w:ascii="Palatino Linotype" w:hAnsi="Palatino Linotype" w:cs="Tahoma"/>
          <w:sz w:val="22"/>
        </w:rPr>
        <w:t xml:space="preserve"> </w:t>
      </w:r>
      <w:r>
        <w:rPr>
          <w:rFonts w:ascii="Palatino Linotype" w:hAnsi="Palatino Linotype" w:cs="Tahoma"/>
          <w:sz w:val="22"/>
        </w:rPr>
        <w:t xml:space="preserve">colige </w:t>
      </w:r>
      <w:r w:rsidR="00694B83">
        <w:rPr>
          <w:rFonts w:ascii="Palatino Linotype" w:hAnsi="Palatino Linotype" w:cs="Tahoma"/>
          <w:sz w:val="22"/>
        </w:rPr>
        <w:t xml:space="preserve">que el Sujeto Obligado deberá realizar una búsqueda exhaustiva y razonable en todas las áreas competentes, que debe incluir </w:t>
      </w:r>
      <w:r w:rsidR="00C147A6">
        <w:rPr>
          <w:rFonts w:ascii="Palatino Linotype" w:hAnsi="Palatino Linotype" w:cs="Tahoma"/>
          <w:sz w:val="22"/>
        </w:rPr>
        <w:t>a las áreas previamente señaladas de cualquier documentación que dé cuenta del ejercicio de los recursos públicos señalados en la multicitada partida 3300, del Presupuesto Municipal de Egresos, del ejercicio fiscal dos mil diecisiete.</w:t>
      </w:r>
    </w:p>
    <w:p w14:paraId="4D16DC02" w14:textId="77777777" w:rsidR="00C147A6" w:rsidRDefault="00C147A6" w:rsidP="00CC66EC">
      <w:pPr>
        <w:spacing w:line="360" w:lineRule="auto"/>
        <w:jc w:val="both"/>
        <w:rPr>
          <w:rFonts w:ascii="Palatino Linotype" w:hAnsi="Palatino Linotype" w:cs="Tahoma"/>
          <w:sz w:val="22"/>
        </w:rPr>
      </w:pPr>
    </w:p>
    <w:p w14:paraId="797ED9B8" w14:textId="205C57D9" w:rsidR="00C1732A" w:rsidRDefault="00C147A6" w:rsidP="00CC66EC">
      <w:pPr>
        <w:spacing w:line="360" w:lineRule="auto"/>
        <w:jc w:val="both"/>
        <w:rPr>
          <w:rFonts w:ascii="Palatino Linotype" w:hAnsi="Palatino Linotype" w:cs="Tahoma"/>
          <w:sz w:val="22"/>
        </w:rPr>
      </w:pPr>
      <w:r>
        <w:rPr>
          <w:rFonts w:ascii="Palatino Linotype" w:hAnsi="Palatino Linotype" w:cs="Tahoma"/>
          <w:sz w:val="22"/>
        </w:rPr>
        <w:t>Lo anterior, toma sustento con el artículo 92, fracción</w:t>
      </w:r>
      <w:r w:rsidR="00325130">
        <w:rPr>
          <w:rFonts w:ascii="Palatino Linotype" w:hAnsi="Palatino Linotype" w:cs="Tahoma"/>
          <w:sz w:val="22"/>
        </w:rPr>
        <w:t xml:space="preserve"> XI,</w:t>
      </w:r>
      <w:r>
        <w:rPr>
          <w:rFonts w:ascii="Palatino Linotype" w:hAnsi="Palatino Linotype" w:cs="Tahoma"/>
          <w:sz w:val="22"/>
        </w:rPr>
        <w:t xml:space="preserve"> </w:t>
      </w:r>
      <w:r w:rsidR="00325130">
        <w:rPr>
          <w:rFonts w:ascii="Palatino Linotype" w:hAnsi="Palatino Linotype" w:cs="Tahoma"/>
          <w:sz w:val="22"/>
        </w:rPr>
        <w:t xml:space="preserve">XXV y XXIX, precisa que los sujetos obligados deberá poner a disposición del público de manera permanente y actualizada la información </w:t>
      </w:r>
      <w:r w:rsidR="00CA162D">
        <w:rPr>
          <w:rFonts w:ascii="Palatino Linotype" w:hAnsi="Palatino Linotype" w:cs="Tahoma"/>
          <w:sz w:val="22"/>
        </w:rPr>
        <w:t>concerniente a las contrataciones se servicios profesionales por honorarios, que incluya el nombre de los prestadores de servicios, servicios contratados, monto por honorarios y periodo de contratación, así como, la información financiera sobre el presupuesto asignado como los informes del ejercicio trimestral del gasto, en términos de la Ley General de Contabilidad Gubernamental y demás disposiciones y aquella sobre los procesos y resultados sobre procedimientos de adjudicación directa, invitación restringida y licitación de cualquier naturaleza, que incluya la versión pública del expediente y contratos respectivos.</w:t>
      </w:r>
    </w:p>
    <w:p w14:paraId="5081A976" w14:textId="77777777" w:rsidR="00CA162D" w:rsidRDefault="00CA162D" w:rsidP="00CC66EC">
      <w:pPr>
        <w:spacing w:line="360" w:lineRule="auto"/>
        <w:jc w:val="both"/>
        <w:rPr>
          <w:rFonts w:ascii="Palatino Linotype" w:hAnsi="Palatino Linotype" w:cs="Tahoma"/>
          <w:sz w:val="22"/>
        </w:rPr>
      </w:pPr>
    </w:p>
    <w:p w14:paraId="07D63E54" w14:textId="5966CD21" w:rsidR="00CA162D" w:rsidRDefault="00CA162D" w:rsidP="00CC66EC">
      <w:pPr>
        <w:spacing w:line="360" w:lineRule="auto"/>
        <w:jc w:val="both"/>
        <w:rPr>
          <w:rFonts w:ascii="Palatino Linotype" w:hAnsi="Palatino Linotype" w:cs="Tahoma"/>
          <w:sz w:val="22"/>
        </w:rPr>
      </w:pPr>
      <w:r>
        <w:rPr>
          <w:rFonts w:ascii="Palatino Linotype" w:hAnsi="Palatino Linotype" w:cs="Tahoma"/>
          <w:sz w:val="22"/>
        </w:rPr>
        <w:t xml:space="preserve">Además, que este Instituto localizó los Lineamientos para la Integración del Informe Mensual 2017 (consultado el veintidós de enero de dos mil diecinueve, a las diecinueve horas, en la liga </w:t>
      </w:r>
      <w:hyperlink r:id="rId15" w:history="1">
        <w:r w:rsidRPr="005B51E9">
          <w:rPr>
            <w:rStyle w:val="Hipervnculo"/>
            <w:rFonts w:ascii="Palatino Linotype" w:hAnsi="Palatino Linotype" w:cs="Tahoma"/>
            <w:sz w:val="22"/>
          </w:rPr>
          <w:t>https://www.osfem.gob.mx/04_Normatividad/doc/Normatividad/2017/10_LinInfMenMpales</w:t>
        </w:r>
        <w:r w:rsidRPr="005B51E9">
          <w:rPr>
            <w:rStyle w:val="Hipervnculo"/>
            <w:rFonts w:ascii="Palatino Linotype" w:hAnsi="Palatino Linotype" w:cs="Tahoma"/>
            <w:sz w:val="22"/>
          </w:rPr>
          <w:lastRenderedPageBreak/>
          <w:t>17.pdf</w:t>
        </w:r>
      </w:hyperlink>
      <w:r>
        <w:rPr>
          <w:rFonts w:ascii="Palatino Linotype" w:hAnsi="Palatino Linotype" w:cs="Tahoma"/>
          <w:sz w:val="22"/>
        </w:rPr>
        <w:t xml:space="preserve">), de la cual se </w:t>
      </w:r>
      <w:r w:rsidR="00966499">
        <w:rPr>
          <w:rFonts w:ascii="Palatino Linotype" w:hAnsi="Palatino Linotype" w:cs="Tahoma"/>
          <w:sz w:val="22"/>
        </w:rPr>
        <w:t>advierte que el Sujeto Obligado debió entregar de manera mensual al Órgano Superior de Fiscalización, el Estado Analítico de</w:t>
      </w:r>
      <w:r w:rsidR="001C0E3C">
        <w:rPr>
          <w:rFonts w:ascii="Palatino Linotype" w:hAnsi="Palatino Linotype" w:cs="Tahoma"/>
          <w:sz w:val="22"/>
        </w:rPr>
        <w:t>l Ejercicio del Presupuesto de Egresos, localizado en el disco 2, correspondiente a la Información Presupuestal de Bienes Muebles e Inmuebles y la Recaudación del Impuesto Predial y Derechos de Agua, cuyo formato es el siguiente:</w:t>
      </w:r>
    </w:p>
    <w:p w14:paraId="21E4964D" w14:textId="77777777" w:rsidR="001C0E3C" w:rsidRDefault="001C0E3C" w:rsidP="00CC66EC">
      <w:pPr>
        <w:spacing w:line="360" w:lineRule="auto"/>
        <w:jc w:val="both"/>
        <w:rPr>
          <w:rFonts w:ascii="Palatino Linotype" w:hAnsi="Palatino Linotype" w:cs="Tahoma"/>
          <w:sz w:val="22"/>
        </w:rPr>
      </w:pPr>
    </w:p>
    <w:p w14:paraId="57D85DED" w14:textId="1744AE53" w:rsidR="001C0E3C" w:rsidRPr="00CA162D" w:rsidRDefault="001C0E3C" w:rsidP="00CC66EC">
      <w:pPr>
        <w:spacing w:line="360" w:lineRule="auto"/>
        <w:jc w:val="both"/>
        <w:rPr>
          <w:rFonts w:ascii="Palatino Linotype" w:hAnsi="Palatino Linotype" w:cs="Tahoma"/>
          <w:sz w:val="22"/>
        </w:rPr>
      </w:pPr>
      <w:r>
        <w:rPr>
          <w:noProof/>
          <w:lang w:eastAsia="es-MX"/>
        </w:rPr>
        <w:drawing>
          <wp:inline distT="0" distB="0" distL="0" distR="0" wp14:anchorId="40E06265" wp14:editId="7FB5700D">
            <wp:extent cx="5742940" cy="9937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993775"/>
                    </a:xfrm>
                    <a:prstGeom prst="rect">
                      <a:avLst/>
                    </a:prstGeom>
                  </pic:spPr>
                </pic:pic>
              </a:graphicData>
            </a:graphic>
          </wp:inline>
        </w:drawing>
      </w:r>
    </w:p>
    <w:p w14:paraId="12736BCC" w14:textId="5CEECD4C" w:rsidR="00C1732A" w:rsidRPr="001C0E3C" w:rsidRDefault="001C0E3C" w:rsidP="001C0E3C">
      <w:pPr>
        <w:spacing w:line="360" w:lineRule="auto"/>
        <w:jc w:val="center"/>
        <w:rPr>
          <w:rFonts w:ascii="Palatino Linotype" w:hAnsi="Palatino Linotype" w:cs="Tahoma"/>
          <w:sz w:val="22"/>
        </w:rPr>
      </w:pPr>
      <w:r w:rsidRPr="001C0E3C">
        <w:rPr>
          <w:rFonts w:ascii="Palatino Linotype" w:hAnsi="Palatino Linotype" w:cs="Tahoma"/>
          <w:sz w:val="22"/>
        </w:rPr>
        <w:t>…</w:t>
      </w:r>
    </w:p>
    <w:p w14:paraId="5046D0AC" w14:textId="30047215" w:rsidR="001C0E3C" w:rsidRDefault="001C0E3C" w:rsidP="001C0E3C">
      <w:pPr>
        <w:spacing w:line="360" w:lineRule="auto"/>
        <w:jc w:val="center"/>
        <w:rPr>
          <w:rFonts w:ascii="Palatino Linotype" w:hAnsi="Palatino Linotype" w:cs="Tahoma"/>
          <w:b/>
          <w:sz w:val="22"/>
        </w:rPr>
      </w:pPr>
      <w:r>
        <w:rPr>
          <w:noProof/>
          <w:lang w:eastAsia="es-MX"/>
        </w:rPr>
        <w:drawing>
          <wp:inline distT="0" distB="0" distL="0" distR="0" wp14:anchorId="359968DF" wp14:editId="11FBF6B8">
            <wp:extent cx="5742940" cy="8978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897890"/>
                    </a:xfrm>
                    <a:prstGeom prst="rect">
                      <a:avLst/>
                    </a:prstGeom>
                  </pic:spPr>
                </pic:pic>
              </a:graphicData>
            </a:graphic>
          </wp:inline>
        </w:drawing>
      </w:r>
    </w:p>
    <w:p w14:paraId="7876439B" w14:textId="6C0C8658" w:rsidR="00647119" w:rsidRDefault="00647119" w:rsidP="00CC66EC">
      <w:pPr>
        <w:spacing w:line="360" w:lineRule="auto"/>
        <w:jc w:val="both"/>
        <w:rPr>
          <w:rFonts w:ascii="Palatino Linotype" w:hAnsi="Palatino Linotype" w:cs="Tahoma"/>
          <w:sz w:val="22"/>
        </w:rPr>
      </w:pPr>
      <w:r>
        <w:rPr>
          <w:rFonts w:ascii="Palatino Linotype" w:hAnsi="Palatino Linotype" w:cs="Tahoma"/>
          <w:sz w:val="22"/>
        </w:rPr>
        <w:t xml:space="preserve">Además, en dichos Lineamientos se localizó que en el disco 4 Información de Nómina, el cual contiene los Comprobantes Fiscales Digitales por Internet por Concepto de Honorarios, tal como se observa a continuación: </w:t>
      </w:r>
    </w:p>
    <w:p w14:paraId="04A7A7B2" w14:textId="77777777" w:rsidR="003439F0" w:rsidRDefault="003439F0" w:rsidP="00CC66EC">
      <w:pPr>
        <w:spacing w:line="360" w:lineRule="auto"/>
        <w:jc w:val="both"/>
        <w:rPr>
          <w:rFonts w:ascii="Palatino Linotype" w:hAnsi="Palatino Linotype" w:cs="Tahoma"/>
          <w:sz w:val="22"/>
        </w:rPr>
      </w:pPr>
    </w:p>
    <w:p w14:paraId="378AD3AF" w14:textId="44016810" w:rsidR="00647119" w:rsidRPr="00647119" w:rsidRDefault="00647119" w:rsidP="00647119">
      <w:pPr>
        <w:spacing w:line="360" w:lineRule="auto"/>
        <w:jc w:val="center"/>
        <w:rPr>
          <w:rFonts w:ascii="Palatino Linotype" w:hAnsi="Palatino Linotype" w:cs="Tahoma"/>
          <w:sz w:val="22"/>
        </w:rPr>
      </w:pPr>
      <w:r>
        <w:rPr>
          <w:noProof/>
          <w:lang w:eastAsia="es-MX"/>
        </w:rPr>
        <mc:AlternateContent>
          <mc:Choice Requires="wps">
            <w:drawing>
              <wp:anchor distT="0" distB="0" distL="114300" distR="114300" simplePos="0" relativeHeight="251659264" behindDoc="0" locked="0" layoutInCell="1" allowOverlap="1" wp14:anchorId="05021165" wp14:editId="5C9252F1">
                <wp:simplePos x="0" y="0"/>
                <wp:positionH relativeFrom="column">
                  <wp:posOffset>982345</wp:posOffset>
                </wp:positionH>
                <wp:positionV relativeFrom="paragraph">
                  <wp:posOffset>756285</wp:posOffset>
                </wp:positionV>
                <wp:extent cx="4143375" cy="358140"/>
                <wp:effectExtent l="19050" t="19050" r="28575" b="22860"/>
                <wp:wrapNone/>
                <wp:docPr id="10" name="Rectángulo 10"/>
                <wp:cNvGraphicFramePr/>
                <a:graphic xmlns:a="http://schemas.openxmlformats.org/drawingml/2006/main">
                  <a:graphicData uri="http://schemas.microsoft.com/office/word/2010/wordprocessingShape">
                    <wps:wsp>
                      <wps:cNvSpPr/>
                      <wps:spPr>
                        <a:xfrm>
                          <a:off x="0" y="0"/>
                          <a:ext cx="4143375" cy="3581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73FAE0" id="Rectángulo 10" o:spid="_x0000_s1026" style="position:absolute;margin-left:77.35pt;margin-top:59.55pt;width:326.25pt;height:2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" filled="f" strokecolor="black [3213]" strokeweight="2.25pt"/>
            </w:pict>
          </mc:Fallback>
        </mc:AlternateContent>
      </w:r>
      <w:r>
        <w:rPr>
          <w:noProof/>
          <w:lang w:eastAsia="es-MX"/>
        </w:rPr>
        <w:drawing>
          <wp:inline distT="0" distB="0" distL="0" distR="0" wp14:anchorId="07634E81" wp14:editId="17DDA81B">
            <wp:extent cx="4505325" cy="108797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92420" cy="1109005"/>
                    </a:xfrm>
                    <a:prstGeom prst="rect">
                      <a:avLst/>
                    </a:prstGeom>
                  </pic:spPr>
                </pic:pic>
              </a:graphicData>
            </a:graphic>
          </wp:inline>
        </w:drawing>
      </w:r>
    </w:p>
    <w:p w14:paraId="57A325FA" w14:textId="77777777" w:rsidR="00647119" w:rsidRDefault="00647119" w:rsidP="00CC66EC">
      <w:pPr>
        <w:spacing w:line="360" w:lineRule="auto"/>
        <w:jc w:val="both"/>
        <w:rPr>
          <w:rFonts w:ascii="Palatino Linotype" w:hAnsi="Palatino Linotype" w:cs="Tahoma"/>
          <w:b/>
          <w:sz w:val="22"/>
        </w:rPr>
      </w:pPr>
    </w:p>
    <w:p w14:paraId="20AE66B8" w14:textId="65FCB761" w:rsidR="00E8018E" w:rsidRDefault="007E63B0" w:rsidP="00CC66EC">
      <w:pPr>
        <w:spacing w:line="360" w:lineRule="auto"/>
        <w:jc w:val="both"/>
        <w:rPr>
          <w:rFonts w:ascii="Palatino Linotype" w:hAnsi="Palatino Linotype" w:cs="Tahoma"/>
          <w:sz w:val="22"/>
        </w:rPr>
      </w:pPr>
      <w:r>
        <w:rPr>
          <w:rFonts w:ascii="Palatino Linotype" w:hAnsi="Palatino Linotype" w:cs="Tahoma"/>
          <w:sz w:val="22"/>
        </w:rPr>
        <w:lastRenderedPageBreak/>
        <w:t xml:space="preserve">Como se logra observar, el Ayuntamiento de Naucalpan de Juárez, cuenta con diversas documentales que podrían dar cuenta de lo solicitado, tanto los entregados al Órgano Superior de Fiscalización, como la información pública de oficio que debe de contar, en términos del artículo 92 de la Ley </w:t>
      </w:r>
      <w:r w:rsidR="007440C5">
        <w:rPr>
          <w:rFonts w:ascii="Palatino Linotype" w:hAnsi="Palatino Linotype" w:cs="Tahoma"/>
          <w:sz w:val="22"/>
        </w:rPr>
        <w:t xml:space="preserve">de la materia; por lo cual, para dar atención a la solicitud de información, resulta necesario realizar una búsqueda exhaustiva y razonable de todas las </w:t>
      </w:r>
      <w:r w:rsidR="00E8018E">
        <w:rPr>
          <w:rFonts w:ascii="Palatino Linotype" w:hAnsi="Palatino Linotype" w:cs="Tahoma"/>
          <w:sz w:val="22"/>
        </w:rPr>
        <w:t>áreas competentes, a efecto de que proporcione la documentación que dé cuenta de la forma en que ejerció el recurso presupuesto para el dos mil diecisiete, en la partida genérica 3300.</w:t>
      </w:r>
    </w:p>
    <w:p w14:paraId="2B13EEDD" w14:textId="77777777" w:rsidR="00E8018E" w:rsidRDefault="00E8018E" w:rsidP="00CC66EC">
      <w:pPr>
        <w:spacing w:line="360" w:lineRule="auto"/>
        <w:jc w:val="both"/>
        <w:rPr>
          <w:rFonts w:ascii="Palatino Linotype" w:hAnsi="Palatino Linotype" w:cs="Tahoma"/>
          <w:sz w:val="22"/>
        </w:rPr>
      </w:pPr>
    </w:p>
    <w:p w14:paraId="405A77B3" w14:textId="58FB6664" w:rsidR="00FA30FF" w:rsidRDefault="00E8018E" w:rsidP="00FA30FF">
      <w:pPr>
        <w:spacing w:line="360" w:lineRule="auto"/>
        <w:jc w:val="both"/>
        <w:rPr>
          <w:rFonts w:ascii="Palatino Linotype" w:hAnsi="Palatino Linotype" w:cs="Tahoma"/>
          <w:b/>
          <w:sz w:val="22"/>
        </w:rPr>
      </w:pPr>
      <w:r>
        <w:rPr>
          <w:rFonts w:ascii="Palatino Linotype" w:hAnsi="Palatino Linotype" w:cs="Tahoma"/>
          <w:sz w:val="22"/>
        </w:rPr>
        <w:t xml:space="preserve">Asimismo, no pasa desapercibido para este Instituto </w:t>
      </w:r>
      <w:r w:rsidR="004E4F26">
        <w:rPr>
          <w:rFonts w:ascii="Palatino Linotype" w:hAnsi="Palatino Linotype" w:cs="Tahoma"/>
          <w:sz w:val="22"/>
        </w:rPr>
        <w:t xml:space="preserve">que la información localizada, </w:t>
      </w:r>
      <w:r w:rsidR="00FA30FF">
        <w:rPr>
          <w:rFonts w:ascii="Palatino Linotype" w:hAnsi="Palatino Linotype" w:cs="Tahoma"/>
          <w:sz w:val="22"/>
        </w:rPr>
        <w:t xml:space="preserve">pudiera contar con datos confidenciales de personas físicas, en términos del artículo 143, fracción I de la Ley de la materia, tales como, el domicilio, Registro Federal de Contribuyentes o bien, la Clave Única de Registro de Población, los cuales deberá proteger; no obstante, no podrá testar los datos de personales morales, tales como </w:t>
      </w:r>
      <w:r w:rsidR="00FA30FF">
        <w:rPr>
          <w:rFonts w:ascii="Palatino Linotype" w:eastAsia="Calibri" w:hAnsi="Palatino Linotype" w:cs="Tahoma"/>
          <w:bCs/>
          <w:sz w:val="22"/>
          <w:szCs w:val="22"/>
          <w:lang w:eastAsia="en-US"/>
        </w:rPr>
        <w:t>el nombre del apoderado legal, número de escritura pública, fecha de la misma, nombre del notario, el número de la notaria, el Registro Federal de Contribuyentes y el domicilio Fiscal y la clave del Registro Público de la Propiedad.</w:t>
      </w:r>
    </w:p>
    <w:p w14:paraId="0D30D64F" w14:textId="495331B0" w:rsidR="005E3242" w:rsidRPr="00FA30FF" w:rsidRDefault="00FA30FF" w:rsidP="00CC66EC">
      <w:pPr>
        <w:spacing w:line="360" w:lineRule="auto"/>
        <w:jc w:val="both"/>
        <w:rPr>
          <w:rFonts w:ascii="Palatino Linotype" w:hAnsi="Palatino Linotype" w:cs="Tahoma"/>
          <w:sz w:val="22"/>
        </w:rPr>
      </w:pPr>
      <w:r>
        <w:rPr>
          <w:rFonts w:ascii="Palatino Linotype" w:hAnsi="Palatino Linotype" w:cs="Tahoma"/>
          <w:sz w:val="22"/>
        </w:rPr>
        <w:t xml:space="preserve">Por otra parte, también </w:t>
      </w:r>
      <w:r w:rsidR="005E3242">
        <w:rPr>
          <w:rFonts w:ascii="Palatino Linotype" w:hAnsi="Palatino Linotype" w:cs="Tahoma"/>
          <w:sz w:val="22"/>
        </w:rPr>
        <w:t xml:space="preserve">se advierte que pudiera contar con diversos datos reservados, en términos del artículo 140 del ordenamiento previamente señalado, pues dentro de la partida genérica 3300, se encuentran </w:t>
      </w:r>
      <w:r w:rsidR="005E3242" w:rsidRPr="00FA30FF">
        <w:rPr>
          <w:rFonts w:ascii="Palatino Linotype" w:hAnsi="Palatino Linotype" w:cs="Tahoma"/>
          <w:b/>
          <w:sz w:val="22"/>
        </w:rPr>
        <w:t>las</w:t>
      </w:r>
      <w:r w:rsidR="005E3242">
        <w:rPr>
          <w:rFonts w:ascii="Palatino Linotype" w:hAnsi="Palatino Linotype" w:cs="Tahoma"/>
          <w:sz w:val="22"/>
        </w:rPr>
        <w:t xml:space="preserve"> </w:t>
      </w:r>
      <w:r w:rsidR="005E3242" w:rsidRPr="00FA30FF">
        <w:rPr>
          <w:rFonts w:ascii="Palatino Linotype" w:hAnsi="Palatino Linotype" w:cs="Tahoma"/>
          <w:b/>
          <w:sz w:val="22"/>
        </w:rPr>
        <w:t>específicas 3370 y 3371</w:t>
      </w:r>
      <w:r w:rsidR="005E3242">
        <w:rPr>
          <w:rFonts w:ascii="Palatino Linotype" w:hAnsi="Palatino Linotype" w:cs="Tahoma"/>
          <w:sz w:val="22"/>
        </w:rPr>
        <w:t xml:space="preserve"> Servicios de protección y seguridad</w:t>
      </w:r>
      <w:r>
        <w:rPr>
          <w:rFonts w:ascii="Palatino Linotype" w:hAnsi="Palatino Linotype" w:cs="Tahoma"/>
          <w:sz w:val="22"/>
        </w:rPr>
        <w:t xml:space="preserve">, correspondientes a las asignaciones destinadas a la realización de programas, investigaciones, acciones y actividades en materia de seguridad pública, en cumplimiento de funciones y actividades en oficiales, </w:t>
      </w:r>
      <w:r w:rsidRPr="00FA30FF">
        <w:rPr>
          <w:rFonts w:ascii="Palatino Linotype" w:hAnsi="Palatino Linotype" w:cs="Tahoma"/>
          <w:sz w:val="22"/>
        </w:rPr>
        <w:t>cuya realización implique riesgo, urge</w:t>
      </w:r>
      <w:r>
        <w:rPr>
          <w:rFonts w:ascii="Palatino Linotype" w:hAnsi="Palatino Linotype" w:cs="Tahoma"/>
          <w:sz w:val="22"/>
        </w:rPr>
        <w:t xml:space="preserve">ncia y confidencialidad extrema; además, que se encuentran </w:t>
      </w:r>
      <w:r w:rsidRPr="00FA30FF">
        <w:rPr>
          <w:rFonts w:ascii="Palatino Linotype" w:hAnsi="Palatino Linotype" w:cs="Tahoma"/>
          <w:b/>
          <w:sz w:val="22"/>
        </w:rPr>
        <w:t>las específicas</w:t>
      </w:r>
      <w:r>
        <w:rPr>
          <w:rFonts w:ascii="Palatino Linotype" w:hAnsi="Palatino Linotype" w:cs="Tahoma"/>
          <w:sz w:val="22"/>
        </w:rPr>
        <w:t xml:space="preserve"> </w:t>
      </w:r>
      <w:r w:rsidRPr="00FA30FF">
        <w:rPr>
          <w:rFonts w:ascii="Palatino Linotype" w:hAnsi="Palatino Linotype" w:cs="Tahoma"/>
          <w:b/>
          <w:sz w:val="22"/>
        </w:rPr>
        <w:t xml:space="preserve">3380 y 3381 </w:t>
      </w:r>
      <w:r>
        <w:rPr>
          <w:rFonts w:ascii="Palatino Linotype" w:hAnsi="Palatino Linotype" w:cs="Tahoma"/>
          <w:sz w:val="22"/>
        </w:rPr>
        <w:t xml:space="preserve">Servicios de vigilancia, correspondiente a las asignaciones destinadas a cubrir las erogaciones por </w:t>
      </w:r>
      <w:r>
        <w:rPr>
          <w:rFonts w:ascii="Palatino Linotype" w:hAnsi="Palatino Linotype" w:cs="Tahoma"/>
          <w:sz w:val="22"/>
        </w:rPr>
        <w:lastRenderedPageBreak/>
        <w:t>servicios de monitoreo de personas, objetos o procesos, tanto de inmuebles de los entes públicos como lugares de dominio público prestados por instituciones de seguridad.</w:t>
      </w:r>
    </w:p>
    <w:p w14:paraId="2E451030" w14:textId="77777777" w:rsidR="005E3242" w:rsidRDefault="005E3242" w:rsidP="00CC66EC">
      <w:pPr>
        <w:spacing w:line="360" w:lineRule="auto"/>
        <w:jc w:val="both"/>
        <w:rPr>
          <w:rFonts w:ascii="Palatino Linotype" w:hAnsi="Palatino Linotype" w:cs="Tahoma"/>
          <w:sz w:val="22"/>
        </w:rPr>
      </w:pPr>
    </w:p>
    <w:p w14:paraId="4AD6E9D3" w14:textId="70E16404" w:rsidR="00647119" w:rsidRDefault="00FA30FF" w:rsidP="00CC66EC">
      <w:pPr>
        <w:spacing w:line="360" w:lineRule="auto"/>
        <w:jc w:val="both"/>
        <w:rPr>
          <w:rFonts w:ascii="Palatino Linotype" w:hAnsi="Palatino Linotype" w:cs="Tahoma"/>
          <w:b/>
          <w:sz w:val="22"/>
        </w:rPr>
      </w:pPr>
      <w:r w:rsidRPr="00485DBF">
        <w:rPr>
          <w:rFonts w:ascii="Palatino Linotype" w:hAnsi="Palatino Linotype" w:cs="Tahoma"/>
          <w:sz w:val="22"/>
        </w:rPr>
        <w:t>Conforme a lo anterior</w:t>
      </w:r>
      <w:r w:rsidR="004E4F26" w:rsidRPr="00485DBF">
        <w:rPr>
          <w:rFonts w:ascii="Palatino Linotype" w:hAnsi="Palatino Linotype" w:cs="Tahoma"/>
          <w:sz w:val="22"/>
        </w:rPr>
        <w:t>, para dar atención al requerimiento informativo deberá elaborar las respectivas versiones públicas y</w:t>
      </w:r>
      <w:r w:rsidR="007E5CD5" w:rsidRPr="00485DBF">
        <w:rPr>
          <w:rFonts w:ascii="Palatino Linotype" w:hAnsi="Palatino Linotype" w:cs="Tahoma"/>
          <w:sz w:val="22"/>
        </w:rPr>
        <w:t xml:space="preserve"> proporcionar</w:t>
      </w:r>
      <w:r w:rsidR="004E4F26" w:rsidRPr="00485DBF">
        <w:rPr>
          <w:rFonts w:ascii="Palatino Linotype" w:hAnsi="Palatino Linotype" w:cs="Tahoma"/>
          <w:sz w:val="22"/>
        </w:rPr>
        <w:t xml:space="preserve"> </w:t>
      </w:r>
      <w:r w:rsidR="00485DBF" w:rsidRPr="00485DBF">
        <w:rPr>
          <w:rFonts w:ascii="Palatino Linotype" w:hAnsi="Palatino Linotype" w:cs="Tahoma"/>
          <w:sz w:val="22"/>
        </w:rPr>
        <w:t xml:space="preserve">el acuerdo </w:t>
      </w:r>
      <w:r w:rsidR="007E5CD5" w:rsidRPr="00485DBF">
        <w:rPr>
          <w:rFonts w:ascii="Palatino Linotype" w:hAnsi="Palatino Linotype" w:cs="Tahoma"/>
          <w:sz w:val="22"/>
          <w:lang w:val="es-ES"/>
        </w:rPr>
        <w:t>en donde se funde y motive la clasificación de la información eliminada, de conformidad con lo previsto en los artículos 49, fracciones II y VIII y 168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31D52DD4" w14:textId="77777777" w:rsidR="00647119" w:rsidRDefault="00647119" w:rsidP="00CC66EC">
      <w:pPr>
        <w:spacing w:line="360" w:lineRule="auto"/>
        <w:jc w:val="both"/>
        <w:rPr>
          <w:rFonts w:ascii="Palatino Linotype" w:hAnsi="Palatino Linotype" w:cs="Tahoma"/>
          <w:b/>
          <w:sz w:val="22"/>
        </w:rPr>
      </w:pPr>
    </w:p>
    <w:p w14:paraId="7633045B" w14:textId="77777777" w:rsidR="00E85CC0" w:rsidRPr="00E4518F" w:rsidRDefault="00E85CC0" w:rsidP="00CC66EC">
      <w:pPr>
        <w:spacing w:line="360" w:lineRule="auto"/>
        <w:jc w:val="both"/>
        <w:rPr>
          <w:rFonts w:ascii="Palatino Linotype" w:hAnsi="Palatino Linotype" w:cs="Tahoma"/>
          <w:b/>
          <w:sz w:val="22"/>
        </w:rPr>
      </w:pPr>
      <w:r w:rsidRPr="00E4518F">
        <w:rPr>
          <w:rFonts w:ascii="Palatino Linotype" w:hAnsi="Palatino Linotype" w:cs="Tahoma"/>
          <w:b/>
          <w:sz w:val="22"/>
        </w:rPr>
        <w:t xml:space="preserve">SEXTO. Decisión. </w:t>
      </w:r>
    </w:p>
    <w:p w14:paraId="1E3B13AB" w14:textId="77777777" w:rsidR="00E85CC0" w:rsidRPr="00E4518F" w:rsidRDefault="00E85CC0" w:rsidP="00CC66EC">
      <w:pPr>
        <w:spacing w:line="360" w:lineRule="auto"/>
        <w:jc w:val="both"/>
        <w:rPr>
          <w:rFonts w:ascii="Palatino Linotype" w:hAnsi="Palatino Linotype" w:cs="Tahoma"/>
          <w:b/>
          <w:sz w:val="22"/>
        </w:rPr>
      </w:pPr>
    </w:p>
    <w:p w14:paraId="57F418BD" w14:textId="498C8604" w:rsidR="009819B2" w:rsidRPr="008B5215" w:rsidRDefault="00E85CC0" w:rsidP="00633E46">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Con fundamento en el artículo 186, fracción </w:t>
      </w:r>
      <w:r w:rsidR="00F43EBF" w:rsidRPr="00E4518F">
        <w:rPr>
          <w:rFonts w:ascii="Palatino Linotype" w:hAnsi="Palatino Linotype" w:cs="Tahoma"/>
          <w:sz w:val="22"/>
          <w:szCs w:val="22"/>
        </w:rPr>
        <w:t>III</w:t>
      </w:r>
      <w:r w:rsidR="00C7736E" w:rsidRPr="00E4518F">
        <w:rPr>
          <w:rFonts w:ascii="Palatino Linotype" w:hAnsi="Palatino Linotype" w:cs="Tahoma"/>
          <w:sz w:val="22"/>
          <w:szCs w:val="22"/>
        </w:rPr>
        <w:t>,</w:t>
      </w:r>
      <w:r w:rsidRPr="00E4518F">
        <w:rPr>
          <w:rFonts w:ascii="Palatino Linotype" w:hAnsi="Palatino Linotype" w:cs="Tahoma"/>
          <w:sz w:val="22"/>
          <w:szCs w:val="22"/>
        </w:rPr>
        <w:t xml:space="preserve"> de la Ley de Transparencia y Acceso a la Información Pública del Estado de México y Municipios, este Instituto considera procedente </w:t>
      </w:r>
      <w:r w:rsidR="007F33C1">
        <w:rPr>
          <w:rFonts w:ascii="Palatino Linotype" w:hAnsi="Palatino Linotype" w:cs="Tahoma"/>
          <w:b/>
          <w:sz w:val="22"/>
          <w:szCs w:val="22"/>
        </w:rPr>
        <w:t>REVO</w:t>
      </w:r>
      <w:r w:rsidR="00987A88">
        <w:rPr>
          <w:rFonts w:ascii="Palatino Linotype" w:hAnsi="Palatino Linotype" w:cs="Tahoma"/>
          <w:b/>
          <w:sz w:val="22"/>
          <w:szCs w:val="22"/>
        </w:rPr>
        <w:t xml:space="preserve">CAR </w:t>
      </w:r>
      <w:r w:rsidR="00F43EBF" w:rsidRPr="00E4518F">
        <w:rPr>
          <w:rFonts w:ascii="Palatino Linotype" w:hAnsi="Palatino Linotype" w:cs="Tahoma"/>
          <w:sz w:val="22"/>
          <w:szCs w:val="22"/>
        </w:rPr>
        <w:t xml:space="preserve">la respuesta otorgada por el </w:t>
      </w:r>
      <w:r w:rsidR="000E6108">
        <w:rPr>
          <w:rFonts w:ascii="Palatino Linotype" w:hAnsi="Palatino Linotype" w:cs="Tahoma"/>
          <w:sz w:val="22"/>
          <w:szCs w:val="22"/>
        </w:rPr>
        <w:t>Ayuntamiento de Naucalpan de Juárez</w:t>
      </w:r>
      <w:r w:rsidRPr="00E4518F">
        <w:rPr>
          <w:rFonts w:ascii="Palatino Linotype" w:hAnsi="Palatino Linotype" w:cs="Tahoma"/>
          <w:sz w:val="22"/>
          <w:szCs w:val="22"/>
        </w:rPr>
        <w:t xml:space="preserve">, a </w:t>
      </w:r>
      <w:r w:rsidR="00987A88" w:rsidRPr="00987A88">
        <w:rPr>
          <w:rFonts w:ascii="Palatino Linotype" w:hAnsi="Palatino Linotype" w:cs="Tahoma"/>
          <w:sz w:val="22"/>
          <w:szCs w:val="22"/>
        </w:rPr>
        <w:t xml:space="preserve">efecto de que </w:t>
      </w:r>
      <w:r w:rsidR="007F33C1">
        <w:rPr>
          <w:rFonts w:ascii="Palatino Linotype" w:hAnsi="Palatino Linotype" w:cs="Tahoma"/>
          <w:sz w:val="22"/>
          <w:szCs w:val="22"/>
        </w:rPr>
        <w:t>previa búsqueda exhaustiva y razonable</w:t>
      </w:r>
      <w:r w:rsidR="00E2456F">
        <w:rPr>
          <w:rFonts w:ascii="Palatino Linotype" w:hAnsi="Palatino Linotype" w:cs="Tahoma"/>
          <w:sz w:val="22"/>
          <w:szCs w:val="22"/>
        </w:rPr>
        <w:t xml:space="preserve">, en todas las unidades administrativas competentes, entre las que no podrá omitir a la Tesorería Municipal, la Dirección General de Administración y </w:t>
      </w:r>
      <w:r w:rsidR="00E2456F" w:rsidRPr="00E2456F">
        <w:rPr>
          <w:rFonts w:ascii="Palatino Linotype" w:hAnsi="Palatino Linotype" w:cs="Tahoma"/>
          <w:sz w:val="22"/>
          <w:szCs w:val="22"/>
        </w:rPr>
        <w:t xml:space="preserve">la </w:t>
      </w:r>
      <w:r w:rsidR="00E2456F" w:rsidRPr="00E2456F">
        <w:rPr>
          <w:rFonts w:ascii="Palatino Linotype" w:hAnsi="Palatino Linotype" w:cs="Tahoma"/>
          <w:bCs/>
          <w:sz w:val="22"/>
          <w:szCs w:val="22"/>
        </w:rPr>
        <w:t>Subdirección de Normatividad y Convenios,</w:t>
      </w:r>
      <w:r w:rsidR="00E2456F">
        <w:rPr>
          <w:rFonts w:ascii="Palatino Linotype" w:hAnsi="Palatino Linotype" w:cs="Tahoma"/>
          <w:sz w:val="22"/>
          <w:szCs w:val="22"/>
        </w:rPr>
        <w:t xml:space="preserve"> de </w:t>
      </w:r>
      <w:r w:rsidR="007F33C1">
        <w:rPr>
          <w:rFonts w:ascii="Palatino Linotype" w:hAnsi="Palatino Linotype" w:cs="Tahoma"/>
          <w:sz w:val="22"/>
          <w:szCs w:val="22"/>
        </w:rPr>
        <w:t xml:space="preserve"> del uno de enero de dos mil diecisiete al ocho de octubre de dos mil dieciocho (fecha de la solicitud), </w:t>
      </w:r>
      <w:r w:rsidR="007F33C1" w:rsidRPr="00987A88">
        <w:rPr>
          <w:rFonts w:ascii="Palatino Linotype" w:hAnsi="Palatino Linotype" w:cs="Tahoma"/>
          <w:sz w:val="22"/>
          <w:szCs w:val="22"/>
        </w:rPr>
        <w:t>entregue</w:t>
      </w:r>
      <w:r w:rsidR="007F33C1">
        <w:rPr>
          <w:rFonts w:ascii="Palatino Linotype" w:hAnsi="Palatino Linotype" w:cs="Tahoma"/>
          <w:sz w:val="22"/>
          <w:szCs w:val="22"/>
        </w:rPr>
        <w:t xml:space="preserve">, </w:t>
      </w:r>
      <w:r w:rsidR="007F33C1" w:rsidRPr="00987A88">
        <w:rPr>
          <w:rFonts w:ascii="Palatino Linotype" w:hAnsi="Palatino Linotype" w:cs="Tahoma"/>
          <w:sz w:val="22"/>
          <w:szCs w:val="22"/>
        </w:rPr>
        <w:t>a través del Sistema de Acceso a la Información Mexiquense (SAIMEX</w:t>
      </w:r>
      <w:r w:rsidR="007F33C1" w:rsidRPr="001571F0">
        <w:rPr>
          <w:rFonts w:ascii="Palatino Linotype" w:hAnsi="Palatino Linotype" w:cs="Tahoma"/>
          <w:sz w:val="22"/>
          <w:szCs w:val="22"/>
        </w:rPr>
        <w:t xml:space="preserve">), </w:t>
      </w:r>
      <w:r w:rsidR="00633E46" w:rsidRPr="001571F0">
        <w:rPr>
          <w:rFonts w:ascii="Palatino Linotype" w:hAnsi="Palatino Linotype" w:cs="Tahoma"/>
          <w:sz w:val="22"/>
          <w:szCs w:val="22"/>
        </w:rPr>
        <w:t>l</w:t>
      </w:r>
      <w:r w:rsidR="007F33C1" w:rsidRPr="008B5215">
        <w:rPr>
          <w:rFonts w:ascii="Palatino Linotype" w:hAnsi="Palatino Linotype" w:cs="Tahoma"/>
          <w:sz w:val="22"/>
          <w:szCs w:val="22"/>
        </w:rPr>
        <w:t>os documentos donde conste</w:t>
      </w:r>
      <w:r w:rsidR="009819B2" w:rsidRPr="008B5215">
        <w:rPr>
          <w:rFonts w:ascii="Palatino Linotype" w:hAnsi="Palatino Linotype" w:cs="Tahoma"/>
          <w:sz w:val="22"/>
          <w:szCs w:val="22"/>
        </w:rPr>
        <w:t xml:space="preserve"> el ejercicio de los recursos establecidos en la cuenta genérica 3300 Servicios Profesionales, Científicos, Técnicos y Otros Servicios del Presupuesto de Egresos del Municipio de Naucalpan de Juárez, del ejercicio fiscal dos mil diecisiete (contratos, convenios, expedientes, facturas, registros contables, órdenes de pago, así como, los Estados </w:t>
      </w:r>
      <w:r w:rsidR="009819B2" w:rsidRPr="008B5215">
        <w:rPr>
          <w:rFonts w:ascii="Palatino Linotype" w:hAnsi="Palatino Linotype" w:cs="Tahoma"/>
          <w:sz w:val="22"/>
          <w:szCs w:val="22"/>
        </w:rPr>
        <w:lastRenderedPageBreak/>
        <w:t>Analíticos del Ejercicio del Presupuesto de Egresos y Comprobantes Fiscales Digitales por Internet por Concepto de Honorarios, localizados en los Informes Mensuales entregados al Órgano Superior de Fiscalización, entre otros).</w:t>
      </w:r>
    </w:p>
    <w:p w14:paraId="0AF84FA6" w14:textId="77777777" w:rsidR="009819B2" w:rsidRPr="001571F0" w:rsidRDefault="009819B2" w:rsidP="009819B2">
      <w:pPr>
        <w:pStyle w:val="Prrafodelista"/>
        <w:spacing w:line="360" w:lineRule="auto"/>
        <w:jc w:val="both"/>
        <w:rPr>
          <w:rFonts w:ascii="Palatino Linotype" w:hAnsi="Palatino Linotype" w:cs="Tahoma"/>
          <w:szCs w:val="22"/>
        </w:rPr>
      </w:pPr>
    </w:p>
    <w:p w14:paraId="5D4204AD" w14:textId="0D761B82" w:rsidR="00E2456F" w:rsidRPr="008B5215" w:rsidRDefault="00E2456F" w:rsidP="00633E46">
      <w:pPr>
        <w:spacing w:line="360" w:lineRule="auto"/>
        <w:jc w:val="both"/>
        <w:rPr>
          <w:rFonts w:ascii="Palatino Linotype" w:hAnsi="Palatino Linotype" w:cs="Tahoma"/>
          <w:bCs/>
          <w:sz w:val="22"/>
          <w:szCs w:val="22"/>
        </w:rPr>
      </w:pPr>
      <w:r w:rsidRPr="008B5215">
        <w:rPr>
          <w:rFonts w:ascii="Palatino Linotype" w:hAnsi="Palatino Linotype" w:cs="Tahoma"/>
          <w:bCs/>
          <w:sz w:val="22"/>
          <w:szCs w:val="22"/>
        </w:rPr>
        <w:t xml:space="preserve">En el caso de que los documentos localizados, contengan datos </w:t>
      </w:r>
      <w:r w:rsidR="00361F9A">
        <w:rPr>
          <w:rFonts w:ascii="Palatino Linotype" w:hAnsi="Palatino Linotype" w:cs="Tahoma"/>
          <w:bCs/>
          <w:sz w:val="22"/>
          <w:szCs w:val="22"/>
        </w:rPr>
        <w:t>personales confidenciales</w:t>
      </w:r>
      <w:r w:rsidRPr="008B5215">
        <w:rPr>
          <w:rFonts w:ascii="Palatino Linotype" w:hAnsi="Palatino Linotype" w:cs="Tahoma"/>
          <w:bCs/>
          <w:sz w:val="22"/>
          <w:szCs w:val="22"/>
        </w:rPr>
        <w:t>, en términos de</w:t>
      </w:r>
      <w:r w:rsidR="00393AAD">
        <w:rPr>
          <w:rFonts w:ascii="Palatino Linotype" w:hAnsi="Palatino Linotype" w:cs="Tahoma"/>
          <w:bCs/>
          <w:sz w:val="22"/>
          <w:szCs w:val="22"/>
        </w:rPr>
        <w:t>l</w:t>
      </w:r>
      <w:r w:rsidRPr="008B5215">
        <w:rPr>
          <w:rFonts w:ascii="Palatino Linotype" w:hAnsi="Palatino Linotype" w:cs="Tahoma"/>
          <w:bCs/>
          <w:sz w:val="22"/>
          <w:szCs w:val="22"/>
        </w:rPr>
        <w:t xml:space="preserve"> artículo 143,</w:t>
      </w:r>
      <w:r w:rsidR="00393AAD">
        <w:rPr>
          <w:rFonts w:ascii="Palatino Linotype" w:hAnsi="Palatino Linotype" w:cs="Tahoma"/>
          <w:bCs/>
          <w:sz w:val="22"/>
          <w:szCs w:val="22"/>
        </w:rPr>
        <w:t xml:space="preserve"> fracción I,</w:t>
      </w:r>
      <w:r w:rsidRPr="008B5215">
        <w:rPr>
          <w:rFonts w:ascii="Palatino Linotype" w:hAnsi="Palatino Linotype" w:cs="Tahoma"/>
          <w:bCs/>
          <w:sz w:val="22"/>
          <w:szCs w:val="22"/>
        </w:rPr>
        <w:t xml:space="preserve"> de la Ley de la materia</w:t>
      </w:r>
      <w:r w:rsidR="00BD0F82">
        <w:rPr>
          <w:rFonts w:ascii="Palatino Linotype" w:hAnsi="Palatino Linotype" w:cs="Tahoma"/>
          <w:bCs/>
          <w:sz w:val="22"/>
          <w:szCs w:val="22"/>
        </w:rPr>
        <w:t xml:space="preserve"> o bien reservados, en términos del diverso 140 de dicho ordenamiento jurídico</w:t>
      </w:r>
      <w:r w:rsidRPr="008B5215">
        <w:rPr>
          <w:rFonts w:ascii="Palatino Linotype" w:hAnsi="Palatino Linotype" w:cs="Tahoma"/>
          <w:bCs/>
          <w:sz w:val="22"/>
          <w:szCs w:val="22"/>
        </w:rPr>
        <w:t>, el Sujeto Obligado deberá elaborar las versiones públicas respectivas. En ese tenor, deberá emitir y entregar la resolución de su Comité de Transparencia, en donde, de manera fundada y motivada, confirme dicha clasificación.</w:t>
      </w:r>
    </w:p>
    <w:p w14:paraId="2DF21059" w14:textId="77777777" w:rsidR="00987A88" w:rsidRDefault="00987A88" w:rsidP="00CC66EC">
      <w:pPr>
        <w:spacing w:line="360" w:lineRule="auto"/>
        <w:jc w:val="both"/>
        <w:rPr>
          <w:rFonts w:ascii="Palatino Linotype" w:eastAsia="Calibri" w:hAnsi="Palatino Linotype" w:cs="Tahoma"/>
          <w:bCs/>
          <w:sz w:val="22"/>
          <w:szCs w:val="22"/>
          <w:lang w:eastAsia="en-US"/>
        </w:rPr>
      </w:pPr>
    </w:p>
    <w:p w14:paraId="041476D0" w14:textId="47C06D27" w:rsidR="00E2456F" w:rsidRDefault="00E2456F" w:rsidP="00E2456F">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SÉPTIMO</w:t>
      </w:r>
      <w:r w:rsidRPr="00B223FD">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Pr>
          <w:rFonts w:ascii="Palatino Linotype" w:hAnsi="Palatino Linotype" w:cs="Tahoma"/>
          <w:b/>
          <w:sz w:val="22"/>
          <w:szCs w:val="22"/>
        </w:rPr>
        <w:t>Vista a la Contraloría Interna u</w:t>
      </w:r>
      <w:r w:rsidRPr="00264223">
        <w:rPr>
          <w:rFonts w:ascii="Palatino Linotype" w:hAnsi="Palatino Linotype" w:cs="Tahoma"/>
          <w:b/>
          <w:sz w:val="22"/>
          <w:szCs w:val="22"/>
        </w:rPr>
        <w:t xml:space="preserve">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201EA98F" w14:textId="77777777" w:rsidR="00E2456F" w:rsidRDefault="00E2456F" w:rsidP="00E2456F">
      <w:pPr>
        <w:widowControl w:val="0"/>
        <w:spacing w:line="360" w:lineRule="auto"/>
        <w:ind w:right="-91"/>
        <w:jc w:val="both"/>
        <w:rPr>
          <w:rFonts w:ascii="Palatino Linotype" w:hAnsi="Palatino Linotype" w:cs="Tahoma"/>
          <w:b/>
          <w:sz w:val="22"/>
          <w:szCs w:val="22"/>
        </w:rPr>
      </w:pPr>
    </w:p>
    <w:p w14:paraId="535B9BEE" w14:textId="7A233818" w:rsidR="00E2456F" w:rsidRDefault="00E2456F" w:rsidP="00E2456F">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Ayuntamiento de </w:t>
      </w:r>
      <w:r w:rsidR="00DD5D41">
        <w:rPr>
          <w:rFonts w:ascii="Palatino Linotype" w:hAnsi="Palatino Linotype" w:cs="Tahoma"/>
          <w:sz w:val="22"/>
          <w:szCs w:val="22"/>
        </w:rPr>
        <w:t>Naucalpan de Juárez</w:t>
      </w:r>
      <w:r w:rsidRPr="005377AB">
        <w:rPr>
          <w:rFonts w:ascii="Palatino Linotype" w:hAnsi="Palatino Linotype" w:cs="Tahoma"/>
          <w:sz w:val="22"/>
          <w:szCs w:val="22"/>
        </w:rPr>
        <w:t xml:space="preserve"> </w:t>
      </w:r>
      <w:r w:rsidR="00DD5D41">
        <w:rPr>
          <w:rFonts w:ascii="Palatino Linotype" w:hAnsi="Palatino Linotype" w:cs="Tahoma"/>
          <w:sz w:val="22"/>
          <w:szCs w:val="22"/>
        </w:rPr>
        <w:t xml:space="preserve">en los contratos localizados en la página electrónica precisada en respuesta, a saber, </w:t>
      </w:r>
      <w:hyperlink r:id="rId19" w:history="1">
        <w:r w:rsidR="00DD5D41" w:rsidRPr="005B51E9">
          <w:rPr>
            <w:rStyle w:val="Hipervnculo"/>
            <w:rFonts w:ascii="Palatino Linotype" w:eastAsia="Calibri" w:hAnsi="Palatino Linotype" w:cs="Tahoma"/>
            <w:iCs/>
            <w:sz w:val="22"/>
            <w:szCs w:val="22"/>
            <w:lang w:val="es-ES" w:eastAsia="es-ES_tradnl"/>
          </w:rPr>
          <w:t>https://www.ipomex.org.mx/ipo/lgt/indice/naucalpan/convenios.web</w:t>
        </w:r>
      </w:hyperlink>
      <w:r w:rsidR="00DD5D41">
        <w:rPr>
          <w:rFonts w:ascii="Palatino Linotype" w:hAnsi="Palatino Linotype" w:cs="Tahoma"/>
          <w:sz w:val="22"/>
          <w:szCs w:val="22"/>
        </w:rPr>
        <w:t>, dejó visible la Clave Única de Registro de Población de personas físicas, mismo que es confidencial en términos del artículo 143, fracción I, de la Ley de Transparencia y Acceso a la Información Pública del Estado de México y Municipios.</w:t>
      </w:r>
    </w:p>
    <w:p w14:paraId="342BEC20" w14:textId="77777777" w:rsidR="00343C28" w:rsidRPr="00264223" w:rsidRDefault="00343C28" w:rsidP="00E2456F">
      <w:pPr>
        <w:spacing w:line="360" w:lineRule="auto"/>
        <w:ind w:right="-93"/>
        <w:jc w:val="both"/>
        <w:rPr>
          <w:rFonts w:ascii="Palatino Linotype" w:hAnsi="Palatino Linotype" w:cs="Tahoma"/>
          <w:sz w:val="22"/>
          <w:szCs w:val="22"/>
        </w:rPr>
      </w:pPr>
    </w:p>
    <w:p w14:paraId="68334813" w14:textId="77777777" w:rsidR="00E2456F" w:rsidRPr="00264223" w:rsidRDefault="00E2456F" w:rsidP="00E2456F">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1260EDED" w14:textId="77777777" w:rsidR="00E2456F" w:rsidRPr="00264223" w:rsidRDefault="00E2456F" w:rsidP="00E2456F">
      <w:pPr>
        <w:spacing w:line="360" w:lineRule="auto"/>
        <w:ind w:right="-93"/>
        <w:jc w:val="both"/>
        <w:rPr>
          <w:rFonts w:ascii="Palatino Linotype" w:hAnsi="Palatino Linotype" w:cs="Tahoma"/>
          <w:sz w:val="22"/>
          <w:szCs w:val="22"/>
        </w:rPr>
      </w:pPr>
    </w:p>
    <w:p w14:paraId="47502788" w14:textId="77777777" w:rsidR="00DD5D41" w:rsidRDefault="00E2456F" w:rsidP="00A24F17">
      <w:pPr>
        <w:widowControl w:val="0"/>
        <w:spacing w:line="360" w:lineRule="auto"/>
        <w:ind w:right="-9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w:t>
      </w:r>
      <w:r w:rsidR="00DD5D41">
        <w:rPr>
          <w:rFonts w:ascii="Palatino Linotype" w:eastAsia="Calibri" w:hAnsi="Palatino Linotype" w:cs="Tahoma"/>
          <w:bCs/>
          <w:sz w:val="22"/>
          <w:szCs w:val="22"/>
          <w:lang w:eastAsia="en-US"/>
        </w:rPr>
        <w:t>V</w:t>
      </w:r>
      <w:r w:rsidRPr="00264223">
        <w:rPr>
          <w:rFonts w:ascii="Palatino Linotype" w:eastAsia="Calibri" w:hAnsi="Palatino Linotype" w:cs="Tahoma"/>
          <w:bCs/>
          <w:sz w:val="22"/>
          <w:szCs w:val="22"/>
          <w:lang w:eastAsia="en-US"/>
        </w:rPr>
        <w:t>, de dich</w:t>
      </w:r>
      <w:r w:rsidR="00DD5D41">
        <w:rPr>
          <w:rFonts w:ascii="Palatino Linotype" w:eastAsia="Calibri" w:hAnsi="Palatino Linotype" w:cs="Tahoma"/>
          <w:bCs/>
          <w:sz w:val="22"/>
          <w:szCs w:val="22"/>
          <w:lang w:eastAsia="en-US"/>
        </w:rPr>
        <w:t>a Ley,</w:t>
      </w:r>
      <w:r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lastRenderedPageBreak/>
        <w:t xml:space="preserve">son causas de sanción por incumplimiento de las obligaciones establecida en la Ley de la materia, entre otras conductas, </w:t>
      </w:r>
      <w:r w:rsidR="00DD5D41">
        <w:rPr>
          <w:rFonts w:ascii="Palatino Linotype" w:eastAsia="Calibri" w:hAnsi="Palatino Linotype" w:cs="Tahoma"/>
          <w:bCs/>
          <w:sz w:val="22"/>
          <w:szCs w:val="22"/>
          <w:lang w:eastAsia="en-US"/>
        </w:rPr>
        <w:t xml:space="preserve">la entrega de información clasificada como confidencial fuera de los casos previstos en la Ley. </w:t>
      </w:r>
    </w:p>
    <w:p w14:paraId="2B3972D1" w14:textId="77777777" w:rsidR="00DD5D41" w:rsidRDefault="00DD5D41" w:rsidP="00E2456F">
      <w:pPr>
        <w:spacing w:line="360" w:lineRule="auto"/>
        <w:ind w:right="-93"/>
        <w:jc w:val="both"/>
        <w:rPr>
          <w:rFonts w:ascii="Palatino Linotype" w:eastAsia="Calibri" w:hAnsi="Palatino Linotype" w:cs="Tahoma"/>
          <w:bCs/>
          <w:sz w:val="22"/>
          <w:szCs w:val="22"/>
          <w:lang w:eastAsia="en-US"/>
        </w:rPr>
      </w:pPr>
    </w:p>
    <w:p w14:paraId="5BE02538" w14:textId="6909777A" w:rsidR="00E2456F" w:rsidRPr="00264223" w:rsidRDefault="00E2456F" w:rsidP="00E2456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100B447" w14:textId="77777777" w:rsidR="00E2456F" w:rsidRPr="00264223" w:rsidRDefault="00E2456F" w:rsidP="00E2456F">
      <w:pPr>
        <w:spacing w:line="360" w:lineRule="auto"/>
        <w:ind w:right="-93"/>
        <w:jc w:val="both"/>
        <w:rPr>
          <w:rFonts w:ascii="Palatino Linotype" w:eastAsia="Calibri" w:hAnsi="Palatino Linotype" w:cs="Tahoma"/>
          <w:bCs/>
          <w:sz w:val="22"/>
          <w:szCs w:val="22"/>
          <w:lang w:eastAsia="en-US"/>
        </w:rPr>
      </w:pPr>
    </w:p>
    <w:p w14:paraId="5310E6F3" w14:textId="1432C36F" w:rsidR="00E2456F" w:rsidRPr="003B7F55" w:rsidRDefault="00E2456F" w:rsidP="00E2456F">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w:t>
      </w:r>
      <w:r w:rsidR="00A24F17">
        <w:rPr>
          <w:rFonts w:ascii="Palatino Linotype" w:eastAsia="Calibri" w:hAnsi="Palatino Linotype" w:cs="Tahoma"/>
          <w:bCs/>
          <w:sz w:val="22"/>
          <w:szCs w:val="22"/>
          <w:lang w:eastAsia="en-US"/>
        </w:rPr>
        <w:t>la entrega de información confidencial</w:t>
      </w:r>
      <w:r w:rsidRPr="00264223">
        <w:rPr>
          <w:rFonts w:ascii="Palatino Linotype" w:eastAsia="Calibri" w:hAnsi="Palatino Linotype" w:cs="Tahoma"/>
          <w:bCs/>
          <w:sz w:val="22"/>
          <w:szCs w:val="22"/>
          <w:lang w:eastAsia="en-US"/>
        </w:rPr>
        <w:t xml:space="preserve">,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1C0FAD4F" w14:textId="77777777" w:rsidR="00E2456F" w:rsidRDefault="00E2456F" w:rsidP="00E2456F">
      <w:pPr>
        <w:spacing w:line="360" w:lineRule="auto"/>
        <w:ind w:right="-93"/>
        <w:jc w:val="both"/>
        <w:rPr>
          <w:rFonts w:ascii="Palatino Linotype" w:eastAsia="Calibri" w:hAnsi="Palatino Linotype" w:cs="Tahoma"/>
          <w:bCs/>
          <w:sz w:val="22"/>
          <w:szCs w:val="22"/>
          <w:lang w:eastAsia="en-US"/>
        </w:rPr>
      </w:pPr>
    </w:p>
    <w:p w14:paraId="4A78EC57" w14:textId="77777777" w:rsidR="00E2456F" w:rsidRDefault="00E2456F" w:rsidP="00E2456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559B16BF" w14:textId="77777777" w:rsidR="0062078C" w:rsidRPr="00E4518F" w:rsidRDefault="0062078C" w:rsidP="00CC66EC">
      <w:pPr>
        <w:spacing w:line="360" w:lineRule="auto"/>
        <w:jc w:val="center"/>
        <w:rPr>
          <w:rFonts w:ascii="Palatino Linotype" w:eastAsia="Calibri" w:hAnsi="Palatino Linotype" w:cs="Tahoma"/>
          <w:b/>
          <w:bCs/>
          <w:sz w:val="22"/>
          <w:szCs w:val="22"/>
          <w:lang w:eastAsia="en-US"/>
        </w:rPr>
      </w:pPr>
      <w:r w:rsidRPr="00E4518F">
        <w:rPr>
          <w:rFonts w:ascii="Palatino Linotype" w:eastAsia="Calibri" w:hAnsi="Palatino Linotype" w:cs="Tahoma"/>
          <w:b/>
          <w:bCs/>
          <w:sz w:val="22"/>
          <w:szCs w:val="22"/>
          <w:lang w:eastAsia="en-US"/>
        </w:rPr>
        <w:t>RESUELVE:</w:t>
      </w:r>
    </w:p>
    <w:p w14:paraId="39C48430" w14:textId="77777777" w:rsidR="0062078C" w:rsidRPr="00E4518F" w:rsidRDefault="0062078C" w:rsidP="00CC66EC">
      <w:pPr>
        <w:spacing w:line="360" w:lineRule="auto"/>
        <w:jc w:val="both"/>
        <w:rPr>
          <w:rFonts w:ascii="Palatino Linotype" w:eastAsia="Calibri" w:hAnsi="Palatino Linotype" w:cs="Tahoma"/>
          <w:b/>
          <w:bCs/>
          <w:sz w:val="22"/>
          <w:szCs w:val="22"/>
          <w:lang w:eastAsia="en-US"/>
        </w:rPr>
      </w:pPr>
    </w:p>
    <w:p w14:paraId="4310075E" w14:textId="73838804" w:rsidR="0062078C" w:rsidRPr="00E4518F" w:rsidRDefault="0062078C" w:rsidP="00B20112">
      <w:pPr>
        <w:widowControl w:val="0"/>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 xml:space="preserve">PRIMERO. </w:t>
      </w:r>
      <w:r w:rsidRPr="00E4518F">
        <w:rPr>
          <w:rFonts w:ascii="Palatino Linotype" w:hAnsi="Palatino Linotype" w:cs="Tahoma"/>
          <w:sz w:val="22"/>
          <w:szCs w:val="22"/>
        </w:rPr>
        <w:t xml:space="preserve">Se </w:t>
      </w:r>
      <w:r w:rsidR="00A24F17">
        <w:rPr>
          <w:rFonts w:ascii="Palatino Linotype" w:hAnsi="Palatino Linotype" w:cs="Tahoma"/>
          <w:b/>
          <w:sz w:val="22"/>
          <w:szCs w:val="22"/>
        </w:rPr>
        <w:t>REVOCA</w:t>
      </w:r>
      <w:r w:rsidRPr="00E4518F">
        <w:rPr>
          <w:rFonts w:ascii="Palatino Linotype" w:hAnsi="Palatino Linotype" w:cs="Tahoma"/>
          <w:b/>
          <w:sz w:val="22"/>
          <w:szCs w:val="22"/>
        </w:rPr>
        <w:t xml:space="preserve"> </w:t>
      </w:r>
      <w:r w:rsidR="00AD3164" w:rsidRPr="00E4518F">
        <w:rPr>
          <w:rFonts w:ascii="Palatino Linotype" w:hAnsi="Palatino Linotype" w:cs="Tahoma"/>
          <w:sz w:val="22"/>
          <w:szCs w:val="22"/>
        </w:rPr>
        <w:t>la</w:t>
      </w:r>
      <w:r w:rsidRPr="00E4518F">
        <w:rPr>
          <w:rFonts w:ascii="Palatino Linotype" w:hAnsi="Palatino Linotype" w:cs="Tahoma"/>
          <w:sz w:val="22"/>
          <w:szCs w:val="22"/>
        </w:rPr>
        <w:t xml:space="preserve"> respuesta entregada por el Sujeto Obligado a la solicitud de información con número</w:t>
      </w:r>
      <w:r w:rsidR="001C3674" w:rsidRPr="00E4518F">
        <w:rPr>
          <w:rFonts w:ascii="Palatino Linotype" w:hAnsi="Palatino Linotype" w:cs="Tahoma"/>
          <w:sz w:val="22"/>
          <w:szCs w:val="22"/>
        </w:rPr>
        <w:t xml:space="preserve"> </w:t>
      </w:r>
      <w:r w:rsidR="000E6108">
        <w:rPr>
          <w:rFonts w:ascii="Palatino Linotype" w:hAnsi="Palatino Linotype" w:cs="Tahoma"/>
          <w:sz w:val="22"/>
          <w:szCs w:val="22"/>
        </w:rPr>
        <w:t xml:space="preserve"> 00544/NAUCALPA/IP/2018</w:t>
      </w:r>
      <w:r w:rsidR="00A24F17">
        <w:rPr>
          <w:rFonts w:ascii="Palatino Linotype" w:hAnsi="Palatino Linotype" w:cs="Tahoma"/>
          <w:sz w:val="22"/>
          <w:szCs w:val="22"/>
        </w:rPr>
        <w:t xml:space="preserve"> </w:t>
      </w:r>
      <w:r w:rsidRPr="00E4518F">
        <w:rPr>
          <w:rFonts w:ascii="Palatino Linotype" w:hAnsi="Palatino Linotype" w:cs="Tahoma"/>
          <w:sz w:val="22"/>
          <w:szCs w:val="22"/>
        </w:rPr>
        <w:t>por resultar</w:t>
      </w:r>
      <w:r w:rsidRPr="00E4518F">
        <w:rPr>
          <w:rFonts w:ascii="Palatino Linotype" w:hAnsi="Palatino Linotype" w:cs="Tahoma"/>
          <w:b/>
          <w:sz w:val="22"/>
          <w:szCs w:val="22"/>
        </w:rPr>
        <w:t xml:space="preserve"> </w:t>
      </w:r>
      <w:r w:rsidR="00A24F17">
        <w:rPr>
          <w:rFonts w:ascii="Palatino Linotype" w:hAnsi="Palatino Linotype" w:cs="Tahoma"/>
          <w:b/>
          <w:sz w:val="22"/>
          <w:szCs w:val="22"/>
        </w:rPr>
        <w:t>F</w:t>
      </w:r>
      <w:r w:rsidRPr="00E4518F">
        <w:rPr>
          <w:rFonts w:ascii="Palatino Linotype" w:hAnsi="Palatino Linotype" w:cs="Tahoma"/>
          <w:b/>
          <w:sz w:val="22"/>
          <w:szCs w:val="22"/>
        </w:rPr>
        <w:t>UNDADOS</w:t>
      </w:r>
      <w:r w:rsidRPr="00E4518F">
        <w:rPr>
          <w:rFonts w:ascii="Palatino Linotype" w:hAnsi="Palatino Linotype" w:cs="Tahoma"/>
          <w:sz w:val="22"/>
          <w:szCs w:val="22"/>
        </w:rPr>
        <w:t xml:space="preserve"> los motivos</w:t>
      </w:r>
      <w:r w:rsidR="00A118F5" w:rsidRPr="00E4518F">
        <w:rPr>
          <w:rFonts w:ascii="Palatino Linotype" w:hAnsi="Palatino Linotype" w:cs="Tahoma"/>
          <w:sz w:val="22"/>
          <w:szCs w:val="22"/>
        </w:rPr>
        <w:t xml:space="preserve"> de inconformidad vertidos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en términos </w:t>
      </w:r>
      <w:r w:rsidR="00B8324B" w:rsidRPr="00E4518F">
        <w:rPr>
          <w:rFonts w:ascii="Palatino Linotype" w:hAnsi="Palatino Linotype" w:cs="Tahoma"/>
          <w:sz w:val="22"/>
          <w:szCs w:val="22"/>
        </w:rPr>
        <w:t xml:space="preserve">de los </w:t>
      </w:r>
      <w:r w:rsidRPr="00E4518F">
        <w:rPr>
          <w:rFonts w:ascii="Palatino Linotype" w:hAnsi="Palatino Linotype" w:cs="Tahoma"/>
          <w:sz w:val="22"/>
          <w:szCs w:val="22"/>
        </w:rPr>
        <w:t>Considerando</w:t>
      </w:r>
      <w:r w:rsidR="00B8324B" w:rsidRPr="00E4518F">
        <w:rPr>
          <w:rFonts w:ascii="Palatino Linotype" w:hAnsi="Palatino Linotype" w:cs="Tahoma"/>
          <w:sz w:val="22"/>
          <w:szCs w:val="22"/>
        </w:rPr>
        <w:t>s</w:t>
      </w:r>
      <w:r w:rsidRPr="00E4518F">
        <w:rPr>
          <w:rFonts w:ascii="Palatino Linotype" w:hAnsi="Palatino Linotype" w:cs="Tahoma"/>
          <w:b/>
          <w:sz w:val="22"/>
          <w:szCs w:val="22"/>
        </w:rPr>
        <w:t xml:space="preserve"> QUINTO</w:t>
      </w:r>
      <w:r w:rsidR="00E97CA3" w:rsidRPr="00E4518F">
        <w:rPr>
          <w:rFonts w:ascii="Palatino Linotype" w:hAnsi="Palatino Linotype" w:cs="Tahoma"/>
          <w:b/>
          <w:sz w:val="22"/>
          <w:szCs w:val="22"/>
        </w:rPr>
        <w:t xml:space="preserve"> </w:t>
      </w:r>
      <w:r w:rsidR="00E97CA3" w:rsidRPr="00E4518F">
        <w:rPr>
          <w:rFonts w:ascii="Palatino Linotype" w:hAnsi="Palatino Linotype" w:cs="Tahoma"/>
          <w:sz w:val="22"/>
          <w:szCs w:val="22"/>
        </w:rPr>
        <w:t>y</w:t>
      </w:r>
      <w:r w:rsidR="00E97CA3" w:rsidRPr="00E4518F">
        <w:rPr>
          <w:rFonts w:ascii="Palatino Linotype" w:hAnsi="Palatino Linotype" w:cs="Tahoma"/>
          <w:b/>
          <w:sz w:val="22"/>
          <w:szCs w:val="22"/>
        </w:rPr>
        <w:t xml:space="preserve"> SEXTO</w:t>
      </w:r>
      <w:r w:rsidR="00AD3164" w:rsidRPr="00E4518F">
        <w:rPr>
          <w:rFonts w:ascii="Palatino Linotype" w:hAnsi="Palatino Linotype" w:cs="Tahoma"/>
          <w:b/>
          <w:sz w:val="22"/>
          <w:szCs w:val="22"/>
        </w:rPr>
        <w:t xml:space="preserve"> </w:t>
      </w:r>
      <w:r w:rsidRPr="00E4518F">
        <w:rPr>
          <w:rFonts w:ascii="Palatino Linotype" w:hAnsi="Palatino Linotype" w:cs="Tahoma"/>
          <w:sz w:val="22"/>
          <w:szCs w:val="22"/>
        </w:rPr>
        <w:t>de la presente Resolución.</w:t>
      </w:r>
    </w:p>
    <w:p w14:paraId="58F78A7F" w14:textId="77777777" w:rsidR="0062078C" w:rsidRPr="00E4518F" w:rsidRDefault="0062078C" w:rsidP="00CC66EC">
      <w:pPr>
        <w:shd w:val="clear" w:color="auto" w:fill="FFFFFF" w:themeFill="background1"/>
        <w:spacing w:line="360" w:lineRule="auto"/>
        <w:jc w:val="both"/>
        <w:rPr>
          <w:rFonts w:ascii="Palatino Linotype" w:eastAsia="Calibri" w:hAnsi="Palatino Linotype" w:cs="Tahoma"/>
          <w:bCs/>
          <w:sz w:val="22"/>
          <w:szCs w:val="22"/>
          <w:lang w:eastAsia="en-US"/>
        </w:rPr>
      </w:pPr>
    </w:p>
    <w:p w14:paraId="305EA166" w14:textId="3B700A97" w:rsidR="00633E46" w:rsidRDefault="0062078C" w:rsidP="00633E46">
      <w:pPr>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Se </w:t>
      </w:r>
      <w:r w:rsidRPr="00E4518F">
        <w:rPr>
          <w:rFonts w:ascii="Palatino Linotype" w:eastAsia="Calibri" w:hAnsi="Palatino Linotype" w:cs="Tahoma"/>
          <w:b/>
          <w:sz w:val="22"/>
          <w:szCs w:val="22"/>
          <w:lang w:eastAsia="es-MX"/>
        </w:rPr>
        <w:t xml:space="preserve">ORDENA </w:t>
      </w:r>
      <w:r w:rsidRPr="00E4518F">
        <w:rPr>
          <w:rFonts w:ascii="Palatino Linotype" w:eastAsia="Calibri" w:hAnsi="Palatino Linotype" w:cs="Tahoma"/>
          <w:sz w:val="22"/>
          <w:szCs w:val="22"/>
          <w:lang w:eastAsia="es-MX"/>
        </w:rPr>
        <w:t xml:space="preserve">al </w:t>
      </w:r>
      <w:r w:rsidR="000E6108">
        <w:rPr>
          <w:rFonts w:ascii="Palatino Linotype" w:eastAsia="Calibri" w:hAnsi="Palatino Linotype" w:cs="Tahoma"/>
          <w:sz w:val="22"/>
          <w:szCs w:val="22"/>
          <w:lang w:eastAsia="es-MX"/>
        </w:rPr>
        <w:t>Ayuntamiento de Naucalpan de Juárez</w:t>
      </w:r>
      <w:r w:rsidRPr="00E4518F">
        <w:rPr>
          <w:rFonts w:ascii="Palatino Linotype" w:eastAsia="Calibri" w:hAnsi="Palatino Linotype" w:cs="Tahoma"/>
          <w:sz w:val="22"/>
          <w:szCs w:val="22"/>
          <w:lang w:eastAsia="es-MX"/>
        </w:rPr>
        <w:t xml:space="preserve">, </w:t>
      </w:r>
      <w:r w:rsidR="00633E46" w:rsidRPr="00E4518F">
        <w:rPr>
          <w:rFonts w:ascii="Palatino Linotype" w:hAnsi="Palatino Linotype" w:cs="Tahoma"/>
          <w:sz w:val="22"/>
          <w:szCs w:val="22"/>
        </w:rPr>
        <w:t xml:space="preserve">a </w:t>
      </w:r>
      <w:r w:rsidR="00633E46" w:rsidRPr="00987A88">
        <w:rPr>
          <w:rFonts w:ascii="Palatino Linotype" w:hAnsi="Palatino Linotype" w:cs="Tahoma"/>
          <w:sz w:val="22"/>
          <w:szCs w:val="22"/>
        </w:rPr>
        <w:t xml:space="preserve">efecto de que </w:t>
      </w:r>
      <w:r w:rsidR="00633E46">
        <w:rPr>
          <w:rFonts w:ascii="Palatino Linotype" w:hAnsi="Palatino Linotype" w:cs="Tahoma"/>
          <w:sz w:val="22"/>
          <w:szCs w:val="22"/>
        </w:rPr>
        <w:t xml:space="preserve">previa búsqueda exhaustiva y razonable, en todas las unidades administrativas competentes,  </w:t>
      </w:r>
      <w:r w:rsidR="00633E46" w:rsidRPr="00987A88">
        <w:rPr>
          <w:rFonts w:ascii="Palatino Linotype" w:hAnsi="Palatino Linotype" w:cs="Tahoma"/>
          <w:sz w:val="22"/>
          <w:szCs w:val="22"/>
        </w:rPr>
        <w:lastRenderedPageBreak/>
        <w:t>entregue</w:t>
      </w:r>
      <w:r w:rsidR="00633E46">
        <w:rPr>
          <w:rFonts w:ascii="Palatino Linotype" w:hAnsi="Palatino Linotype" w:cs="Tahoma"/>
          <w:sz w:val="22"/>
          <w:szCs w:val="22"/>
        </w:rPr>
        <w:t>, en su caso, en versión pública,</w:t>
      </w:r>
      <w:r w:rsidR="00633E46" w:rsidRPr="00987A88">
        <w:rPr>
          <w:rFonts w:ascii="Palatino Linotype" w:hAnsi="Palatino Linotype" w:cs="Tahoma"/>
          <w:sz w:val="22"/>
          <w:szCs w:val="22"/>
        </w:rPr>
        <w:t xml:space="preserve"> a través del Sistema de Acceso a la Información Mexiquense (SAIMEX),</w:t>
      </w:r>
      <w:r w:rsidR="009740CB">
        <w:rPr>
          <w:rFonts w:ascii="Palatino Linotype" w:hAnsi="Palatino Linotype" w:cs="Tahoma"/>
          <w:sz w:val="22"/>
          <w:szCs w:val="22"/>
        </w:rPr>
        <w:t xml:space="preserve"> </w:t>
      </w:r>
      <w:r w:rsidR="00633E46">
        <w:rPr>
          <w:rFonts w:ascii="Palatino Linotype" w:hAnsi="Palatino Linotype" w:cs="Tahoma"/>
          <w:sz w:val="22"/>
          <w:szCs w:val="22"/>
        </w:rPr>
        <w:t xml:space="preserve"> lo siguiente:</w:t>
      </w:r>
    </w:p>
    <w:p w14:paraId="3962A4FD" w14:textId="77777777" w:rsidR="00633E46" w:rsidRDefault="00633E46" w:rsidP="00633E46">
      <w:pPr>
        <w:spacing w:line="360" w:lineRule="auto"/>
        <w:jc w:val="both"/>
        <w:rPr>
          <w:rFonts w:ascii="Palatino Linotype" w:hAnsi="Palatino Linotype" w:cs="Tahoma"/>
          <w:sz w:val="22"/>
          <w:szCs w:val="22"/>
        </w:rPr>
      </w:pPr>
    </w:p>
    <w:p w14:paraId="18605D12" w14:textId="54530A69" w:rsidR="00633E46" w:rsidRDefault="00633E46" w:rsidP="007E5CD5">
      <w:pPr>
        <w:pStyle w:val="Prrafodelista"/>
        <w:numPr>
          <w:ilvl w:val="0"/>
          <w:numId w:val="31"/>
        </w:numPr>
        <w:spacing w:line="360" w:lineRule="auto"/>
        <w:ind w:right="567"/>
        <w:jc w:val="both"/>
        <w:rPr>
          <w:rFonts w:ascii="Palatino Linotype" w:hAnsi="Palatino Linotype" w:cs="Tahoma"/>
          <w:szCs w:val="22"/>
        </w:rPr>
      </w:pPr>
      <w:r>
        <w:rPr>
          <w:rFonts w:ascii="Palatino Linotype" w:hAnsi="Palatino Linotype" w:cs="Tahoma"/>
          <w:szCs w:val="22"/>
        </w:rPr>
        <w:t xml:space="preserve">Los documentos donde conste el ejercicio de los recursos establecidos en la cuenta genérica 3300 </w:t>
      </w:r>
      <w:r w:rsidRPr="009819B2">
        <w:rPr>
          <w:rFonts w:ascii="Palatino Linotype" w:hAnsi="Palatino Linotype" w:cs="Tahoma"/>
          <w:szCs w:val="22"/>
        </w:rPr>
        <w:t>Servicios Profesionales, Científicos, Técnicos y Otros Servicios</w:t>
      </w:r>
      <w:r>
        <w:rPr>
          <w:rFonts w:ascii="Palatino Linotype" w:hAnsi="Palatino Linotype" w:cs="Tahoma"/>
          <w:szCs w:val="22"/>
        </w:rPr>
        <w:t xml:space="preserve"> del Presupuesto de Egresos del Municipio de Naucalpan de Juárez, </w:t>
      </w:r>
      <w:r w:rsidR="004009E8">
        <w:rPr>
          <w:rFonts w:ascii="Palatino Linotype" w:hAnsi="Palatino Linotype" w:cs="Tahoma"/>
          <w:szCs w:val="22"/>
        </w:rPr>
        <w:t>correspondientes a</w:t>
      </w:r>
      <w:r>
        <w:rPr>
          <w:rFonts w:ascii="Palatino Linotype" w:hAnsi="Palatino Linotype" w:cs="Tahoma"/>
          <w:szCs w:val="22"/>
        </w:rPr>
        <w:t>l ejercicio fiscal dos mil diecisiete.</w:t>
      </w:r>
    </w:p>
    <w:p w14:paraId="43DF493D" w14:textId="77777777" w:rsidR="00633E46" w:rsidRDefault="00633E46" w:rsidP="007E5CD5">
      <w:pPr>
        <w:pStyle w:val="Prrafodelista"/>
        <w:spacing w:line="360" w:lineRule="auto"/>
        <w:ind w:right="567"/>
        <w:jc w:val="both"/>
        <w:rPr>
          <w:rFonts w:ascii="Palatino Linotype" w:hAnsi="Palatino Linotype" w:cs="Tahoma"/>
          <w:szCs w:val="22"/>
        </w:rPr>
      </w:pPr>
    </w:p>
    <w:p w14:paraId="44A385E3" w14:textId="125C708C" w:rsidR="0062078C" w:rsidRDefault="00633E46" w:rsidP="007E5CD5">
      <w:pPr>
        <w:pStyle w:val="Prrafodelista"/>
        <w:spacing w:line="360" w:lineRule="auto"/>
        <w:ind w:right="567"/>
        <w:jc w:val="both"/>
        <w:rPr>
          <w:rFonts w:ascii="Palatino Linotype" w:hAnsi="Palatino Linotype" w:cs="Tahoma"/>
          <w:bCs/>
          <w:szCs w:val="22"/>
        </w:rPr>
      </w:pPr>
      <w:r w:rsidRPr="00E2456F">
        <w:rPr>
          <w:rFonts w:ascii="Palatino Linotype" w:hAnsi="Palatino Linotype" w:cs="Tahoma"/>
          <w:bCs/>
          <w:szCs w:val="22"/>
        </w:rPr>
        <w:t xml:space="preserve">En el caso de que los documentos localizados, </w:t>
      </w:r>
      <w:r w:rsidR="00BD0F82" w:rsidRPr="00BD0F82">
        <w:rPr>
          <w:rFonts w:ascii="Palatino Linotype" w:hAnsi="Palatino Linotype" w:cs="Tahoma"/>
          <w:bCs/>
          <w:szCs w:val="22"/>
        </w:rPr>
        <w:t>contengan datos personales confidenciales, en términos del artículo 143, fracción I, de la Ley de la materia</w:t>
      </w:r>
      <w:r w:rsidR="00BD0F82">
        <w:rPr>
          <w:rFonts w:ascii="Palatino Linotype" w:hAnsi="Palatino Linotype" w:cs="Tahoma"/>
          <w:bCs/>
          <w:szCs w:val="22"/>
        </w:rPr>
        <w:t>,</w:t>
      </w:r>
      <w:r w:rsidR="00BD0F82" w:rsidRPr="00BD0F82">
        <w:rPr>
          <w:rFonts w:ascii="Palatino Linotype" w:hAnsi="Palatino Linotype" w:cs="Tahoma"/>
          <w:bCs/>
          <w:szCs w:val="22"/>
        </w:rPr>
        <w:t xml:space="preserve"> o bien</w:t>
      </w:r>
      <w:r w:rsidR="00BD0F82">
        <w:rPr>
          <w:rFonts w:ascii="Palatino Linotype" w:hAnsi="Palatino Linotype" w:cs="Tahoma"/>
          <w:bCs/>
          <w:szCs w:val="22"/>
        </w:rPr>
        <w:t>,</w:t>
      </w:r>
      <w:r w:rsidR="00BD0F82" w:rsidRPr="00BD0F82">
        <w:rPr>
          <w:rFonts w:ascii="Palatino Linotype" w:hAnsi="Palatino Linotype" w:cs="Tahoma"/>
          <w:bCs/>
          <w:szCs w:val="22"/>
        </w:rPr>
        <w:t xml:space="preserve"> reservados, en términos del diverso 140 de dicho ordenamiento jurídico, el Sujeto Obligado deberá elaborar las versiones públicas respectivas. En ese tenor, deberá emitir y entregar la resolución de su Comité de Transparencia, en donde, de manera fundada y motivada, confirme dicha clasificación.</w:t>
      </w:r>
    </w:p>
    <w:p w14:paraId="44C316A0" w14:textId="77777777" w:rsidR="007E5CD5" w:rsidRPr="00E4518F" w:rsidRDefault="007E5CD5" w:rsidP="00BD0F82">
      <w:pPr>
        <w:pStyle w:val="Prrafodelista"/>
        <w:spacing w:line="360" w:lineRule="auto"/>
        <w:jc w:val="both"/>
        <w:rPr>
          <w:rFonts w:ascii="Palatino Linotype" w:eastAsia="Calibri" w:hAnsi="Palatino Linotype" w:cs="Tahoma"/>
          <w:szCs w:val="22"/>
          <w:lang w:eastAsia="es-MX"/>
        </w:rPr>
      </w:pPr>
    </w:p>
    <w:p w14:paraId="498765C3" w14:textId="77777777" w:rsidR="0062078C" w:rsidRPr="00E4518F" w:rsidRDefault="0062078C" w:rsidP="00CC66EC">
      <w:pPr>
        <w:spacing w:line="360" w:lineRule="auto"/>
        <w:jc w:val="both"/>
        <w:rPr>
          <w:rFonts w:ascii="Palatino Linotype" w:hAnsi="Palatino Linotype" w:cs="Tahoma"/>
          <w:i/>
          <w:sz w:val="22"/>
          <w:szCs w:val="22"/>
        </w:rPr>
      </w:pPr>
      <w:r w:rsidRPr="00E4518F">
        <w:rPr>
          <w:rFonts w:ascii="Palatino Linotype" w:eastAsia="Calibri" w:hAnsi="Palatino Linotype" w:cs="Tahoma"/>
          <w:b/>
          <w:bCs/>
          <w:sz w:val="22"/>
          <w:szCs w:val="22"/>
          <w:lang w:eastAsia="en-US"/>
        </w:rPr>
        <w:t>TERCERO.</w:t>
      </w:r>
      <w:r w:rsidR="001C3674" w:rsidRPr="00E4518F">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 xml:space="preserve">NOTIFÍQUESE </w:t>
      </w:r>
      <w:r w:rsidRPr="00E4518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A57D07D" w14:textId="77777777" w:rsidR="0062078C" w:rsidRPr="00E4518F" w:rsidRDefault="0062078C" w:rsidP="00CC66EC">
      <w:pPr>
        <w:shd w:val="clear" w:color="auto" w:fill="FFFFFF" w:themeFill="background1"/>
        <w:spacing w:line="360" w:lineRule="auto"/>
        <w:jc w:val="both"/>
        <w:rPr>
          <w:rFonts w:ascii="Palatino Linotype" w:eastAsia="Calibri" w:hAnsi="Palatino Linotype" w:cs="Tahoma"/>
          <w:sz w:val="22"/>
          <w:szCs w:val="22"/>
          <w:lang w:eastAsia="es-MX"/>
        </w:rPr>
      </w:pPr>
    </w:p>
    <w:p w14:paraId="45E645C5" w14:textId="28E478A0" w:rsidR="0062078C" w:rsidRDefault="0062078C" w:rsidP="00CC66EC">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sz w:val="22"/>
          <w:szCs w:val="22"/>
          <w:lang w:eastAsia="es-MX"/>
        </w:rPr>
        <w:t>CUARTO</w:t>
      </w:r>
      <w:r w:rsidRPr="00E4518F">
        <w:rPr>
          <w:rFonts w:ascii="Palatino Linotype" w:eastAsia="Calibri" w:hAnsi="Palatino Linotype" w:cs="Tahoma"/>
          <w:b/>
          <w:bCs/>
          <w:sz w:val="22"/>
          <w:szCs w:val="22"/>
          <w:lang w:eastAsia="en-US"/>
        </w:rPr>
        <w:t>.</w:t>
      </w:r>
      <w:r w:rsidR="00633E46">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w:t>
      </w:r>
      <w:r w:rsidR="00FB0190" w:rsidRPr="00E4518F">
        <w:rPr>
          <w:rFonts w:ascii="Palatino Linotype" w:hAnsi="Palatino Linotype" w:cs="Tahoma"/>
          <w:sz w:val="22"/>
          <w:szCs w:val="22"/>
        </w:rPr>
        <w:t>l Recurrente</w:t>
      </w:r>
      <w:r w:rsidRPr="00E4518F">
        <w:rPr>
          <w:rFonts w:ascii="Palatino Linotype" w:hAnsi="Palatino Linotype" w:cs="Tahoma"/>
          <w:sz w:val="22"/>
          <w:szCs w:val="22"/>
        </w:rPr>
        <w:t xml:space="preserve"> la presente Resolución, asimismo, se hace de su conocimiento que de conformidad con lo establecido en el artículo 196 de la Ley de </w:t>
      </w:r>
      <w:r w:rsidRPr="00E4518F">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r w:rsidR="00A74376" w:rsidRPr="00A74376">
        <w:t xml:space="preserve"> </w:t>
      </w:r>
    </w:p>
    <w:p w14:paraId="0E08E50A" w14:textId="77777777" w:rsidR="00633E46" w:rsidRDefault="00633E46" w:rsidP="00CC66EC">
      <w:pPr>
        <w:shd w:val="clear" w:color="auto" w:fill="FFFFFF" w:themeFill="background1"/>
        <w:spacing w:line="360" w:lineRule="auto"/>
        <w:jc w:val="both"/>
        <w:rPr>
          <w:rFonts w:ascii="Palatino Linotype" w:hAnsi="Palatino Linotype" w:cs="Tahoma"/>
          <w:sz w:val="22"/>
          <w:szCs w:val="22"/>
        </w:rPr>
      </w:pPr>
    </w:p>
    <w:p w14:paraId="0A46EB14" w14:textId="77777777" w:rsidR="00633E46" w:rsidRPr="00B223FD" w:rsidRDefault="00633E46" w:rsidP="00633E46">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3F01D6">
        <w:rPr>
          <w:rFonts w:ascii="Palatino Linotype" w:eastAsia="Calibri" w:hAnsi="Palatino Linotype" w:cs="Tahoma"/>
          <w:b/>
          <w:bCs/>
          <w:caps/>
          <w:sz w:val="22"/>
          <w:szCs w:val="22"/>
          <w:lang w:val="es-ES_tradnl" w:eastAsia="en-US"/>
        </w:rPr>
        <w:t>Séptimo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2E0F61CC" w14:textId="77777777" w:rsidR="0062078C" w:rsidRPr="00E4518F" w:rsidRDefault="0062078C" w:rsidP="00CC66EC">
      <w:pPr>
        <w:spacing w:line="360" w:lineRule="auto"/>
        <w:jc w:val="both"/>
        <w:rPr>
          <w:rFonts w:ascii="Palatino Linotype" w:eastAsia="Calibri" w:hAnsi="Palatino Linotype" w:cs="Tahoma"/>
          <w:bCs/>
          <w:sz w:val="22"/>
          <w:szCs w:val="22"/>
          <w:lang w:eastAsia="en-US"/>
        </w:rPr>
      </w:pPr>
    </w:p>
    <w:p w14:paraId="1F2790AD" w14:textId="1FC6CFCE" w:rsidR="00A25901" w:rsidRPr="00E4518F" w:rsidRDefault="00A25901" w:rsidP="007E5CD5">
      <w:pPr>
        <w:widowControl w:val="0"/>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633E46">
        <w:rPr>
          <w:rFonts w:ascii="Palatino Linotype" w:hAnsi="Palatino Linotype" w:cs="Tahoma"/>
          <w:sz w:val="22"/>
          <w:szCs w:val="24"/>
          <w:lang w:eastAsia="es-MX"/>
        </w:rPr>
        <w:t>CUARTA</w:t>
      </w:r>
      <w:r w:rsidRPr="00E4518F">
        <w:rPr>
          <w:rFonts w:ascii="Palatino Linotype" w:hAnsi="Palatino Linotype" w:cs="Tahoma"/>
          <w:sz w:val="22"/>
          <w:szCs w:val="24"/>
          <w:lang w:eastAsia="es-MX"/>
        </w:rPr>
        <w:t xml:space="preserve"> SESIÓN ORDINARIA, CELEBRADA EL </w:t>
      </w:r>
      <w:r w:rsidR="000E6108">
        <w:rPr>
          <w:rFonts w:ascii="Palatino Linotype" w:hAnsi="Palatino Linotype" w:cs="Tahoma"/>
          <w:sz w:val="22"/>
          <w:szCs w:val="24"/>
          <w:lang w:eastAsia="es-MX"/>
        </w:rPr>
        <w:t>TREINTA DE ENERO</w:t>
      </w:r>
      <w:r w:rsidRPr="00E4518F">
        <w:rPr>
          <w:rFonts w:ascii="Palatino Linotype" w:hAnsi="Palatino Linotype" w:cs="Tahoma"/>
          <w:sz w:val="22"/>
          <w:szCs w:val="24"/>
          <w:lang w:eastAsia="es-MX"/>
        </w:rPr>
        <w:t xml:space="preserve"> DE DOS MIL </w:t>
      </w:r>
      <w:r w:rsidR="00633E46">
        <w:rPr>
          <w:rFonts w:ascii="Palatino Linotype" w:hAnsi="Palatino Linotype" w:cs="Tahoma"/>
          <w:sz w:val="22"/>
          <w:szCs w:val="24"/>
          <w:lang w:eastAsia="es-MX"/>
        </w:rPr>
        <w:t>DIECINUEVE</w:t>
      </w:r>
      <w:r w:rsidRPr="00E4518F">
        <w:rPr>
          <w:rFonts w:ascii="Palatino Linotype" w:hAnsi="Palatino Linotype" w:cs="Tahoma"/>
          <w:sz w:val="22"/>
          <w:szCs w:val="24"/>
          <w:lang w:eastAsia="es-MX"/>
        </w:rPr>
        <w:t>, ANTE EL SECRETARIO TÉCNICO DEL PLENO, ALEXIS TAPIA RAMÍREZ.</w:t>
      </w:r>
    </w:p>
    <w:p w14:paraId="4BE5EDDA" w14:textId="77777777" w:rsidR="000813B0" w:rsidRDefault="000813B0" w:rsidP="00CC66EC">
      <w:pPr>
        <w:tabs>
          <w:tab w:val="left" w:pos="8931"/>
        </w:tabs>
        <w:spacing w:line="360" w:lineRule="auto"/>
        <w:ind w:right="-93"/>
        <w:rPr>
          <w:rFonts w:ascii="Palatino Linotype" w:eastAsia="Calibri" w:hAnsi="Palatino Linotype" w:cs="Tahoma"/>
          <w:b/>
          <w:bCs/>
          <w:sz w:val="22"/>
          <w:szCs w:val="22"/>
          <w:lang w:eastAsia="en-US"/>
        </w:rPr>
      </w:pPr>
    </w:p>
    <w:p w14:paraId="7484DA6A" w14:textId="637AE5EE" w:rsidR="007E5CD5" w:rsidRDefault="007E5CD5" w:rsidP="00CC66EC">
      <w:pPr>
        <w:tabs>
          <w:tab w:val="left" w:pos="8931"/>
        </w:tabs>
        <w:spacing w:line="360" w:lineRule="auto"/>
        <w:ind w:right="-93"/>
        <w:rPr>
          <w:rFonts w:ascii="Palatino Linotype" w:eastAsia="Calibri" w:hAnsi="Palatino Linotype" w:cs="Tahoma"/>
          <w:b/>
          <w:bCs/>
          <w:sz w:val="22"/>
          <w:szCs w:val="22"/>
          <w:lang w:eastAsia="en-US"/>
        </w:rPr>
      </w:pPr>
    </w:p>
    <w:p w14:paraId="7CD3C568" w14:textId="77777777" w:rsidR="008A6ED1" w:rsidRDefault="008A6ED1" w:rsidP="00CC66EC">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B27509" w:rsidRPr="007E5CD5" w14:paraId="09FD36B9" w14:textId="77777777" w:rsidTr="00987A88">
        <w:tc>
          <w:tcPr>
            <w:tcW w:w="9072" w:type="dxa"/>
            <w:gridSpan w:val="4"/>
          </w:tcPr>
          <w:p w14:paraId="65A4DEA6" w14:textId="77777777" w:rsidR="00B27509" w:rsidRPr="007E5CD5" w:rsidRDefault="00B27509" w:rsidP="008A6ED1">
            <w:pPr>
              <w:tabs>
                <w:tab w:val="left" w:pos="2445"/>
                <w:tab w:val="center" w:pos="4428"/>
              </w:tabs>
              <w:spacing w:line="276" w:lineRule="auto"/>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Zulema Martínez Sánchez</w:t>
            </w:r>
          </w:p>
          <w:p w14:paraId="00FE6E89" w14:textId="77777777" w:rsidR="00B27509" w:rsidRPr="007E5CD5" w:rsidRDefault="00B27509" w:rsidP="008A6ED1">
            <w:pPr>
              <w:spacing w:line="276" w:lineRule="auto"/>
              <w:ind w:right="-108"/>
              <w:jc w:val="center"/>
              <w:rPr>
                <w:rFonts w:ascii="Palatino Linotype" w:eastAsia="Calibri" w:hAnsi="Palatino Linotype" w:cs="Tahoma"/>
                <w:sz w:val="22"/>
                <w:szCs w:val="22"/>
                <w:lang w:eastAsia="es-MX"/>
              </w:rPr>
            </w:pPr>
            <w:r w:rsidRPr="007E5CD5">
              <w:rPr>
                <w:rFonts w:ascii="Palatino Linotype" w:eastAsia="Calibri" w:hAnsi="Palatino Linotype" w:cs="Tahoma"/>
                <w:sz w:val="22"/>
                <w:szCs w:val="22"/>
                <w:lang w:eastAsia="es-MX"/>
              </w:rPr>
              <w:t>Comisionada Presidenta</w:t>
            </w:r>
          </w:p>
          <w:p w14:paraId="13F3C5F0" w14:textId="12D0C9CA" w:rsidR="00B27509" w:rsidRPr="007E5CD5" w:rsidRDefault="00B27509" w:rsidP="008A6ED1">
            <w:pPr>
              <w:spacing w:line="276" w:lineRule="auto"/>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(Rúbrica)</w:t>
            </w:r>
          </w:p>
        </w:tc>
      </w:tr>
      <w:tr w:rsidR="00B27509" w:rsidRPr="007E5CD5" w14:paraId="79BBFDBE" w14:textId="77777777" w:rsidTr="00B20112">
        <w:trPr>
          <w:trHeight w:val="2134"/>
        </w:trPr>
        <w:tc>
          <w:tcPr>
            <w:tcW w:w="3402" w:type="dxa"/>
          </w:tcPr>
          <w:p w14:paraId="3A8D5FD8" w14:textId="77777777" w:rsidR="008A6ED1" w:rsidRDefault="008A6ED1" w:rsidP="008A6ED1">
            <w:pPr>
              <w:spacing w:line="276" w:lineRule="auto"/>
              <w:ind w:right="-108"/>
              <w:jc w:val="center"/>
              <w:rPr>
                <w:rFonts w:ascii="Palatino Linotype" w:eastAsia="Calibri" w:hAnsi="Palatino Linotype" w:cs="Tahoma"/>
                <w:b/>
                <w:sz w:val="22"/>
                <w:szCs w:val="22"/>
              </w:rPr>
            </w:pPr>
          </w:p>
          <w:p w14:paraId="5B9E360F" w14:textId="035E9153" w:rsidR="008A6ED1" w:rsidRDefault="008A6ED1" w:rsidP="008A6ED1">
            <w:pPr>
              <w:spacing w:line="276" w:lineRule="auto"/>
              <w:ind w:right="-108"/>
              <w:jc w:val="center"/>
              <w:rPr>
                <w:rFonts w:ascii="Palatino Linotype" w:eastAsia="Calibri" w:hAnsi="Palatino Linotype" w:cs="Tahoma"/>
                <w:b/>
                <w:sz w:val="22"/>
                <w:szCs w:val="22"/>
              </w:rPr>
            </w:pPr>
          </w:p>
          <w:p w14:paraId="5DF9DBA4" w14:textId="77777777" w:rsidR="008A6ED1" w:rsidRDefault="008A6ED1" w:rsidP="008A6ED1">
            <w:pPr>
              <w:spacing w:line="276" w:lineRule="auto"/>
              <w:ind w:right="-108"/>
              <w:jc w:val="center"/>
              <w:rPr>
                <w:rFonts w:ascii="Palatino Linotype" w:eastAsia="Calibri" w:hAnsi="Palatino Linotype" w:cs="Tahoma"/>
                <w:b/>
                <w:sz w:val="22"/>
                <w:szCs w:val="22"/>
              </w:rPr>
            </w:pPr>
          </w:p>
          <w:p w14:paraId="7527EBDC" w14:textId="1D081F1C" w:rsidR="00C46E72" w:rsidRPr="007E5CD5" w:rsidRDefault="00B27509" w:rsidP="008A6ED1">
            <w:pPr>
              <w:spacing w:line="276" w:lineRule="auto"/>
              <w:ind w:right="-108"/>
              <w:jc w:val="center"/>
              <w:rPr>
                <w:rFonts w:ascii="Palatino Linotype" w:eastAsia="Calibri" w:hAnsi="Palatino Linotype" w:cs="Tahoma"/>
                <w:b/>
                <w:sz w:val="22"/>
                <w:szCs w:val="22"/>
              </w:rPr>
            </w:pPr>
            <w:r w:rsidRPr="007E5CD5">
              <w:rPr>
                <w:rFonts w:ascii="Palatino Linotype" w:eastAsia="Calibri" w:hAnsi="Palatino Linotype" w:cs="Tahoma"/>
                <w:b/>
                <w:sz w:val="22"/>
                <w:szCs w:val="22"/>
              </w:rPr>
              <w:t xml:space="preserve">Eva Abaid Yapur </w:t>
            </w:r>
          </w:p>
          <w:p w14:paraId="2A2D888A" w14:textId="17903F86" w:rsidR="00B27509" w:rsidRPr="007E5CD5" w:rsidRDefault="00B27509" w:rsidP="008A6ED1">
            <w:pPr>
              <w:spacing w:line="276" w:lineRule="auto"/>
              <w:ind w:right="-108"/>
              <w:jc w:val="center"/>
              <w:rPr>
                <w:rFonts w:ascii="Palatino Linotype" w:eastAsia="Calibri" w:hAnsi="Palatino Linotype" w:cs="Tahoma"/>
                <w:sz w:val="22"/>
                <w:szCs w:val="22"/>
              </w:rPr>
            </w:pPr>
            <w:r w:rsidRPr="007E5CD5">
              <w:rPr>
                <w:rFonts w:ascii="Palatino Linotype" w:eastAsia="Calibri" w:hAnsi="Palatino Linotype" w:cs="Tahoma"/>
                <w:sz w:val="22"/>
                <w:szCs w:val="22"/>
              </w:rPr>
              <w:t>Comisionada</w:t>
            </w:r>
          </w:p>
          <w:p w14:paraId="1DBB4C50" w14:textId="0C96183C" w:rsidR="00B27509" w:rsidRPr="007E5CD5" w:rsidRDefault="00B27509" w:rsidP="008A6ED1">
            <w:pPr>
              <w:spacing w:line="276" w:lineRule="auto"/>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(Rúbrica)</w:t>
            </w:r>
          </w:p>
        </w:tc>
        <w:tc>
          <w:tcPr>
            <w:tcW w:w="1564" w:type="dxa"/>
          </w:tcPr>
          <w:p w14:paraId="3CC92625" w14:textId="77777777" w:rsidR="00B27509" w:rsidRPr="007E5CD5" w:rsidRDefault="00B27509" w:rsidP="00CC66EC">
            <w:pPr>
              <w:spacing w:line="360" w:lineRule="auto"/>
              <w:rPr>
                <w:rFonts w:ascii="Palatino Linotype" w:eastAsia="Batang" w:hAnsi="Palatino Linotype" w:cs="Tahoma"/>
                <w:b/>
                <w:sz w:val="22"/>
                <w:szCs w:val="22"/>
              </w:rPr>
            </w:pPr>
          </w:p>
        </w:tc>
        <w:tc>
          <w:tcPr>
            <w:tcW w:w="4106" w:type="dxa"/>
            <w:gridSpan w:val="2"/>
          </w:tcPr>
          <w:p w14:paraId="4F8565AA" w14:textId="17EDC539" w:rsidR="008A6ED1" w:rsidRDefault="008A6ED1" w:rsidP="008A6ED1">
            <w:pPr>
              <w:spacing w:line="276" w:lineRule="auto"/>
              <w:ind w:right="-108"/>
              <w:jc w:val="center"/>
              <w:rPr>
                <w:rFonts w:ascii="Palatino Linotype" w:eastAsia="Calibri" w:hAnsi="Palatino Linotype" w:cs="Tahoma"/>
                <w:b/>
                <w:sz w:val="22"/>
                <w:szCs w:val="22"/>
                <w:lang w:eastAsia="es-MX"/>
              </w:rPr>
            </w:pPr>
          </w:p>
          <w:p w14:paraId="17B3D09C" w14:textId="77777777" w:rsidR="008A6ED1" w:rsidRDefault="008A6ED1" w:rsidP="008A6ED1">
            <w:pPr>
              <w:spacing w:line="276" w:lineRule="auto"/>
              <w:ind w:right="-108"/>
              <w:jc w:val="center"/>
              <w:rPr>
                <w:rFonts w:ascii="Palatino Linotype" w:eastAsia="Calibri" w:hAnsi="Palatino Linotype" w:cs="Tahoma"/>
                <w:b/>
                <w:sz w:val="22"/>
                <w:szCs w:val="22"/>
                <w:lang w:eastAsia="es-MX"/>
              </w:rPr>
            </w:pPr>
          </w:p>
          <w:p w14:paraId="533E2CDD" w14:textId="77777777" w:rsidR="008A6ED1" w:rsidRDefault="008A6ED1" w:rsidP="008A6ED1">
            <w:pPr>
              <w:spacing w:line="276" w:lineRule="auto"/>
              <w:ind w:right="-108"/>
              <w:jc w:val="center"/>
              <w:rPr>
                <w:rFonts w:ascii="Palatino Linotype" w:eastAsia="Calibri" w:hAnsi="Palatino Linotype" w:cs="Tahoma"/>
                <w:b/>
                <w:sz w:val="22"/>
                <w:szCs w:val="22"/>
                <w:lang w:eastAsia="es-MX"/>
              </w:rPr>
            </w:pPr>
          </w:p>
          <w:p w14:paraId="6C4596B5" w14:textId="3C34DE3A" w:rsidR="00B27509" w:rsidRPr="007E5CD5" w:rsidRDefault="00B27509" w:rsidP="008A6ED1">
            <w:pPr>
              <w:spacing w:line="276" w:lineRule="auto"/>
              <w:ind w:right="-108"/>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José Guadalupe Luna Hernández</w:t>
            </w:r>
          </w:p>
          <w:p w14:paraId="44B392A4" w14:textId="77777777" w:rsidR="00B27509" w:rsidRPr="007E5CD5" w:rsidRDefault="00B27509" w:rsidP="008A6ED1">
            <w:pPr>
              <w:spacing w:line="276" w:lineRule="auto"/>
              <w:ind w:right="-108"/>
              <w:jc w:val="center"/>
              <w:rPr>
                <w:rFonts w:ascii="Palatino Linotype" w:eastAsia="Calibri" w:hAnsi="Palatino Linotype" w:cs="Tahoma"/>
                <w:sz w:val="22"/>
                <w:szCs w:val="22"/>
                <w:lang w:eastAsia="es-MX"/>
              </w:rPr>
            </w:pPr>
            <w:r w:rsidRPr="007E5CD5">
              <w:rPr>
                <w:rFonts w:ascii="Palatino Linotype" w:eastAsia="Calibri" w:hAnsi="Palatino Linotype" w:cs="Tahoma"/>
                <w:sz w:val="22"/>
                <w:szCs w:val="22"/>
                <w:lang w:eastAsia="es-MX"/>
              </w:rPr>
              <w:t>Comisionado</w:t>
            </w:r>
          </w:p>
          <w:p w14:paraId="4BFD6352" w14:textId="3F0A6373" w:rsidR="00B27509" w:rsidRPr="007E5CD5" w:rsidRDefault="00B27509" w:rsidP="008A6ED1">
            <w:pPr>
              <w:spacing w:line="276" w:lineRule="auto"/>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(Rúbrica)</w:t>
            </w:r>
          </w:p>
        </w:tc>
      </w:tr>
      <w:tr w:rsidR="00B27509" w:rsidRPr="007E5CD5" w14:paraId="35693805" w14:textId="77777777" w:rsidTr="00987A88">
        <w:tc>
          <w:tcPr>
            <w:tcW w:w="3402" w:type="dxa"/>
          </w:tcPr>
          <w:p w14:paraId="04E25930" w14:textId="77777777" w:rsidR="008A6ED1" w:rsidRDefault="00B27509" w:rsidP="008A6ED1">
            <w:pPr>
              <w:spacing w:line="276" w:lineRule="auto"/>
              <w:jc w:val="center"/>
              <w:rPr>
                <w:rFonts w:ascii="Palatino Linotype" w:eastAsia="Calibri" w:hAnsi="Palatino Linotype" w:cs="Tahoma"/>
                <w:b/>
                <w:sz w:val="22"/>
                <w:szCs w:val="22"/>
              </w:rPr>
            </w:pPr>
            <w:r w:rsidRPr="007E5CD5">
              <w:rPr>
                <w:rFonts w:ascii="Palatino Linotype" w:eastAsia="Calibri" w:hAnsi="Palatino Linotype" w:cs="Tahoma"/>
                <w:b/>
                <w:sz w:val="22"/>
                <w:szCs w:val="22"/>
              </w:rPr>
              <w:t xml:space="preserve"> </w:t>
            </w:r>
          </w:p>
          <w:p w14:paraId="2AD105DB" w14:textId="1AA5656A" w:rsidR="008A6ED1" w:rsidRDefault="008A6ED1" w:rsidP="008A6ED1">
            <w:pPr>
              <w:spacing w:line="276" w:lineRule="auto"/>
              <w:jc w:val="center"/>
              <w:rPr>
                <w:rFonts w:ascii="Palatino Linotype" w:eastAsia="Calibri" w:hAnsi="Palatino Linotype" w:cs="Tahoma"/>
                <w:b/>
                <w:sz w:val="22"/>
                <w:szCs w:val="22"/>
              </w:rPr>
            </w:pPr>
          </w:p>
          <w:p w14:paraId="56305239" w14:textId="77777777" w:rsidR="008A6ED1" w:rsidRDefault="008A6ED1" w:rsidP="008A6ED1">
            <w:pPr>
              <w:spacing w:line="276" w:lineRule="auto"/>
              <w:jc w:val="center"/>
              <w:rPr>
                <w:rFonts w:ascii="Palatino Linotype" w:eastAsia="Calibri" w:hAnsi="Palatino Linotype" w:cs="Tahoma"/>
                <w:b/>
                <w:sz w:val="22"/>
                <w:szCs w:val="22"/>
              </w:rPr>
            </w:pPr>
          </w:p>
          <w:p w14:paraId="287D481C" w14:textId="77777777" w:rsidR="008A6ED1" w:rsidRDefault="008A6ED1" w:rsidP="008A6ED1">
            <w:pPr>
              <w:spacing w:line="276" w:lineRule="auto"/>
              <w:jc w:val="center"/>
              <w:rPr>
                <w:rFonts w:ascii="Palatino Linotype" w:eastAsia="Calibri" w:hAnsi="Palatino Linotype" w:cs="Tahoma"/>
                <w:b/>
                <w:sz w:val="22"/>
                <w:szCs w:val="22"/>
              </w:rPr>
            </w:pPr>
          </w:p>
          <w:p w14:paraId="3C026AC5" w14:textId="3B6839C7" w:rsidR="00B27509" w:rsidRPr="007E5CD5" w:rsidRDefault="00B27509" w:rsidP="008A6ED1">
            <w:pPr>
              <w:spacing w:line="276" w:lineRule="auto"/>
              <w:jc w:val="center"/>
              <w:rPr>
                <w:rFonts w:ascii="Palatino Linotype" w:eastAsia="Calibri" w:hAnsi="Palatino Linotype" w:cs="Tahoma"/>
                <w:b/>
                <w:sz w:val="22"/>
                <w:szCs w:val="22"/>
              </w:rPr>
            </w:pPr>
            <w:r w:rsidRPr="007E5CD5">
              <w:rPr>
                <w:rFonts w:ascii="Palatino Linotype" w:eastAsia="Calibri" w:hAnsi="Palatino Linotype" w:cs="Tahoma"/>
                <w:b/>
                <w:sz w:val="22"/>
                <w:szCs w:val="22"/>
                <w:lang w:val="es-ES_tradnl"/>
              </w:rPr>
              <w:t xml:space="preserve">Javier Martínez Cruz </w:t>
            </w:r>
            <w:r w:rsidRPr="007E5CD5">
              <w:rPr>
                <w:rFonts w:ascii="Palatino Linotype" w:eastAsia="Calibri" w:hAnsi="Palatino Linotype" w:cs="Tahoma"/>
                <w:sz w:val="22"/>
                <w:szCs w:val="22"/>
              </w:rPr>
              <w:t>Comisionado</w:t>
            </w:r>
          </w:p>
          <w:p w14:paraId="5EF80E51" w14:textId="6FE7100D" w:rsidR="00B27509" w:rsidRPr="008A6ED1" w:rsidRDefault="00B27509" w:rsidP="008A6ED1">
            <w:pPr>
              <w:spacing w:line="276" w:lineRule="auto"/>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(Rúbrica)</w:t>
            </w:r>
          </w:p>
        </w:tc>
        <w:tc>
          <w:tcPr>
            <w:tcW w:w="1985" w:type="dxa"/>
            <w:gridSpan w:val="2"/>
          </w:tcPr>
          <w:p w14:paraId="6D4A1F8D" w14:textId="77777777" w:rsidR="00B27509" w:rsidRPr="007E5CD5" w:rsidRDefault="00B27509" w:rsidP="00CC66EC">
            <w:pPr>
              <w:spacing w:line="360" w:lineRule="auto"/>
              <w:rPr>
                <w:rFonts w:ascii="Palatino Linotype" w:eastAsia="Batang" w:hAnsi="Palatino Linotype" w:cs="Tahoma"/>
                <w:b/>
                <w:sz w:val="22"/>
                <w:szCs w:val="22"/>
              </w:rPr>
            </w:pPr>
          </w:p>
        </w:tc>
        <w:tc>
          <w:tcPr>
            <w:tcW w:w="3685" w:type="dxa"/>
          </w:tcPr>
          <w:p w14:paraId="3A0A011F" w14:textId="77777777" w:rsidR="008A6ED1" w:rsidRDefault="008A6ED1" w:rsidP="008A6ED1">
            <w:pPr>
              <w:spacing w:line="276" w:lineRule="auto"/>
              <w:ind w:right="-108"/>
              <w:jc w:val="center"/>
              <w:rPr>
                <w:rFonts w:ascii="Palatino Linotype" w:eastAsia="Calibri" w:hAnsi="Palatino Linotype" w:cs="Tahoma"/>
                <w:b/>
                <w:sz w:val="22"/>
                <w:szCs w:val="22"/>
                <w:lang w:val="es-ES_tradnl"/>
              </w:rPr>
            </w:pPr>
          </w:p>
          <w:p w14:paraId="4607355C" w14:textId="77777777" w:rsidR="008A6ED1" w:rsidRDefault="008A6ED1" w:rsidP="008A6ED1">
            <w:pPr>
              <w:spacing w:line="276" w:lineRule="auto"/>
              <w:ind w:right="-108"/>
              <w:jc w:val="center"/>
              <w:rPr>
                <w:rFonts w:ascii="Palatino Linotype" w:eastAsia="Calibri" w:hAnsi="Palatino Linotype" w:cs="Tahoma"/>
                <w:b/>
                <w:sz w:val="22"/>
                <w:szCs w:val="22"/>
                <w:lang w:val="es-ES_tradnl"/>
              </w:rPr>
            </w:pPr>
          </w:p>
          <w:p w14:paraId="7EED1CB6" w14:textId="77777777" w:rsidR="008A6ED1" w:rsidRDefault="008A6ED1" w:rsidP="008A6ED1">
            <w:pPr>
              <w:spacing w:line="276" w:lineRule="auto"/>
              <w:ind w:right="-108"/>
              <w:jc w:val="center"/>
              <w:rPr>
                <w:rFonts w:ascii="Palatino Linotype" w:eastAsia="Calibri" w:hAnsi="Palatino Linotype" w:cs="Tahoma"/>
                <w:b/>
                <w:sz w:val="22"/>
                <w:szCs w:val="22"/>
                <w:lang w:val="es-ES_tradnl"/>
              </w:rPr>
            </w:pPr>
          </w:p>
          <w:p w14:paraId="4F25C653" w14:textId="77777777" w:rsidR="008A6ED1" w:rsidRDefault="008A6ED1" w:rsidP="008A6ED1">
            <w:pPr>
              <w:spacing w:line="276" w:lineRule="auto"/>
              <w:ind w:right="-108"/>
              <w:jc w:val="center"/>
              <w:rPr>
                <w:rFonts w:ascii="Palatino Linotype" w:eastAsia="Calibri" w:hAnsi="Palatino Linotype" w:cs="Tahoma"/>
                <w:b/>
                <w:sz w:val="22"/>
                <w:szCs w:val="22"/>
                <w:lang w:val="es-ES_tradnl"/>
              </w:rPr>
            </w:pPr>
          </w:p>
          <w:p w14:paraId="4FA9542A" w14:textId="347D8A0C" w:rsidR="00B27509" w:rsidRPr="007E5CD5" w:rsidRDefault="00B27509" w:rsidP="008A6ED1">
            <w:pPr>
              <w:spacing w:line="276" w:lineRule="auto"/>
              <w:ind w:right="-108"/>
              <w:jc w:val="center"/>
              <w:rPr>
                <w:rFonts w:ascii="Palatino Linotype" w:eastAsia="Calibri" w:hAnsi="Palatino Linotype" w:cs="Tahoma"/>
                <w:b/>
                <w:sz w:val="22"/>
                <w:szCs w:val="22"/>
              </w:rPr>
            </w:pPr>
            <w:r w:rsidRPr="007E5CD5">
              <w:rPr>
                <w:rFonts w:ascii="Palatino Linotype" w:eastAsia="Calibri" w:hAnsi="Palatino Linotype" w:cs="Tahoma"/>
                <w:b/>
                <w:sz w:val="22"/>
                <w:szCs w:val="22"/>
                <w:lang w:val="es-ES_tradnl"/>
              </w:rPr>
              <w:t>Luis Gustavo Parra Noriega</w:t>
            </w:r>
          </w:p>
          <w:p w14:paraId="2E0EB77C" w14:textId="77777777" w:rsidR="00B27509" w:rsidRPr="007E5CD5" w:rsidRDefault="00B27509" w:rsidP="008A6ED1">
            <w:pPr>
              <w:spacing w:line="276" w:lineRule="auto"/>
              <w:ind w:right="-108"/>
              <w:jc w:val="center"/>
              <w:rPr>
                <w:rFonts w:ascii="Palatino Linotype" w:eastAsia="Calibri" w:hAnsi="Palatino Linotype" w:cs="Tahoma"/>
                <w:sz w:val="22"/>
                <w:szCs w:val="22"/>
              </w:rPr>
            </w:pPr>
            <w:r w:rsidRPr="007E5CD5">
              <w:rPr>
                <w:rFonts w:ascii="Palatino Linotype" w:eastAsia="Calibri" w:hAnsi="Palatino Linotype" w:cs="Tahoma"/>
                <w:sz w:val="22"/>
                <w:szCs w:val="22"/>
              </w:rPr>
              <w:t>Comisionado</w:t>
            </w:r>
          </w:p>
          <w:p w14:paraId="05A1DCED" w14:textId="77777777" w:rsidR="00B27509" w:rsidRPr="007E5CD5" w:rsidRDefault="00B27509" w:rsidP="008A6ED1">
            <w:pPr>
              <w:spacing w:line="276" w:lineRule="auto"/>
              <w:jc w:val="center"/>
              <w:rPr>
                <w:rFonts w:ascii="Palatino Linotype" w:eastAsia="Calibri" w:hAnsi="Palatino Linotype" w:cs="Tahoma"/>
                <w:b/>
                <w:sz w:val="22"/>
                <w:szCs w:val="22"/>
                <w:lang w:eastAsia="es-MX"/>
              </w:rPr>
            </w:pPr>
            <w:r w:rsidRPr="007E5CD5">
              <w:rPr>
                <w:rFonts w:ascii="Palatino Linotype" w:eastAsia="Calibri" w:hAnsi="Palatino Linotype" w:cs="Tahoma"/>
                <w:b/>
                <w:sz w:val="22"/>
                <w:szCs w:val="22"/>
                <w:lang w:eastAsia="es-MX"/>
              </w:rPr>
              <w:t>(Rúbrica)</w:t>
            </w:r>
          </w:p>
          <w:p w14:paraId="2DA53183" w14:textId="77777777" w:rsidR="00B27509" w:rsidRPr="007E5CD5" w:rsidRDefault="00B27509" w:rsidP="00CC66EC">
            <w:pPr>
              <w:spacing w:line="360" w:lineRule="auto"/>
              <w:ind w:right="-108"/>
              <w:jc w:val="center"/>
              <w:rPr>
                <w:rFonts w:ascii="Palatino Linotype" w:eastAsia="Batang" w:hAnsi="Palatino Linotype" w:cs="Tahoma"/>
                <w:b/>
                <w:sz w:val="22"/>
                <w:szCs w:val="22"/>
              </w:rPr>
            </w:pPr>
          </w:p>
        </w:tc>
      </w:tr>
      <w:tr w:rsidR="00B27509" w:rsidRPr="007E5CD5" w14:paraId="5A4D8E54" w14:textId="77777777" w:rsidTr="00987A88">
        <w:tc>
          <w:tcPr>
            <w:tcW w:w="9072" w:type="dxa"/>
            <w:gridSpan w:val="4"/>
          </w:tcPr>
          <w:p w14:paraId="1C67F6AF" w14:textId="77777777" w:rsidR="008A6ED1" w:rsidRDefault="008A6ED1" w:rsidP="008A6ED1">
            <w:pPr>
              <w:spacing w:line="276" w:lineRule="auto"/>
              <w:jc w:val="center"/>
              <w:rPr>
                <w:rFonts w:ascii="Palatino Linotype" w:eastAsia="Calibri" w:hAnsi="Palatino Linotype" w:cs="Tahoma"/>
                <w:b/>
                <w:sz w:val="22"/>
                <w:szCs w:val="22"/>
              </w:rPr>
            </w:pPr>
          </w:p>
          <w:p w14:paraId="03441873" w14:textId="77777777" w:rsidR="008A6ED1" w:rsidRDefault="008A6ED1" w:rsidP="008A6ED1">
            <w:pPr>
              <w:spacing w:line="276" w:lineRule="auto"/>
              <w:jc w:val="center"/>
              <w:rPr>
                <w:rFonts w:ascii="Palatino Linotype" w:eastAsia="Calibri" w:hAnsi="Palatino Linotype" w:cs="Tahoma"/>
                <w:b/>
                <w:sz w:val="22"/>
                <w:szCs w:val="22"/>
              </w:rPr>
            </w:pPr>
          </w:p>
          <w:p w14:paraId="5699573D" w14:textId="77777777" w:rsidR="008A6ED1" w:rsidRDefault="008A6ED1" w:rsidP="008A6ED1">
            <w:pPr>
              <w:spacing w:line="276" w:lineRule="auto"/>
              <w:jc w:val="center"/>
              <w:rPr>
                <w:rFonts w:ascii="Palatino Linotype" w:eastAsia="Calibri" w:hAnsi="Palatino Linotype" w:cs="Tahoma"/>
                <w:b/>
                <w:sz w:val="22"/>
                <w:szCs w:val="22"/>
              </w:rPr>
            </w:pPr>
          </w:p>
          <w:p w14:paraId="157127F5" w14:textId="77777777" w:rsidR="008A6ED1" w:rsidRDefault="008A6ED1" w:rsidP="008A6ED1">
            <w:pPr>
              <w:spacing w:line="276" w:lineRule="auto"/>
              <w:jc w:val="center"/>
              <w:rPr>
                <w:rFonts w:ascii="Palatino Linotype" w:eastAsia="Calibri" w:hAnsi="Palatino Linotype" w:cs="Tahoma"/>
                <w:b/>
                <w:sz w:val="22"/>
                <w:szCs w:val="22"/>
              </w:rPr>
            </w:pPr>
          </w:p>
          <w:p w14:paraId="2096F1F5" w14:textId="63D8F663" w:rsidR="00B27509" w:rsidRPr="007E5CD5" w:rsidRDefault="00B27509" w:rsidP="008A6ED1">
            <w:pPr>
              <w:spacing w:line="276" w:lineRule="auto"/>
              <w:jc w:val="center"/>
              <w:rPr>
                <w:rFonts w:ascii="Palatino Linotype" w:eastAsia="Calibri" w:hAnsi="Palatino Linotype" w:cs="Tahoma"/>
                <w:b/>
                <w:sz w:val="22"/>
                <w:szCs w:val="22"/>
              </w:rPr>
            </w:pPr>
            <w:r w:rsidRPr="007E5CD5">
              <w:rPr>
                <w:rFonts w:ascii="Palatino Linotype" w:eastAsia="Calibri" w:hAnsi="Palatino Linotype" w:cs="Tahoma"/>
                <w:b/>
                <w:sz w:val="22"/>
                <w:szCs w:val="22"/>
              </w:rPr>
              <w:t>Alexis Tapia Ramírez</w:t>
            </w:r>
          </w:p>
          <w:p w14:paraId="59CD0B2F" w14:textId="77777777" w:rsidR="00B27509" w:rsidRPr="007E5CD5" w:rsidRDefault="00B27509" w:rsidP="008A6ED1">
            <w:pPr>
              <w:spacing w:line="276" w:lineRule="auto"/>
              <w:jc w:val="center"/>
              <w:rPr>
                <w:rFonts w:ascii="Palatino Linotype" w:eastAsia="Calibri" w:hAnsi="Palatino Linotype" w:cs="Tahoma"/>
                <w:sz w:val="22"/>
                <w:szCs w:val="22"/>
              </w:rPr>
            </w:pPr>
            <w:r w:rsidRPr="007E5CD5">
              <w:rPr>
                <w:rFonts w:ascii="Palatino Linotype" w:eastAsia="Calibri" w:hAnsi="Palatino Linotype" w:cs="Tahoma"/>
                <w:sz w:val="22"/>
                <w:szCs w:val="22"/>
              </w:rPr>
              <w:t>Secretario Técnico del Pleno</w:t>
            </w:r>
          </w:p>
          <w:p w14:paraId="009474B2" w14:textId="32FBFF70" w:rsidR="00B27509" w:rsidRPr="008A6ED1" w:rsidRDefault="00B27509" w:rsidP="008A6ED1">
            <w:pPr>
              <w:spacing w:line="276" w:lineRule="auto"/>
              <w:jc w:val="center"/>
              <w:rPr>
                <w:rFonts w:ascii="Palatino Linotype" w:eastAsia="Calibri" w:hAnsi="Palatino Linotype" w:cs="Tahoma"/>
                <w:b/>
                <w:szCs w:val="22"/>
                <w:lang w:eastAsia="es-MX"/>
              </w:rPr>
            </w:pPr>
            <w:r w:rsidRPr="007E5CD5">
              <w:rPr>
                <w:rFonts w:ascii="Palatino Linotype" w:eastAsia="Calibri" w:hAnsi="Palatino Linotype" w:cs="Tahoma"/>
                <w:b/>
                <w:sz w:val="22"/>
                <w:szCs w:val="22"/>
                <w:lang w:eastAsia="es-MX"/>
              </w:rPr>
              <w:t>(Rúbrica)</w:t>
            </w:r>
            <w:r w:rsidR="008A6ED1">
              <w:rPr>
                <w:rFonts w:ascii="Palatino Linotype" w:eastAsia="Calibri" w:hAnsi="Palatino Linotype" w:cs="Tahoma"/>
                <w:b/>
                <w:szCs w:val="22"/>
                <w:lang w:eastAsia="es-MX"/>
              </w:rPr>
              <w:t>.</w:t>
            </w:r>
          </w:p>
        </w:tc>
      </w:tr>
    </w:tbl>
    <w:p w14:paraId="5959AEC1" w14:textId="73A3668B" w:rsidR="00166E8E" w:rsidRPr="00C46E72" w:rsidRDefault="00A25901" w:rsidP="008A6ED1">
      <w:pPr>
        <w:tabs>
          <w:tab w:val="left" w:pos="8931"/>
        </w:tabs>
        <w:spacing w:line="276" w:lineRule="auto"/>
        <w:ind w:right="-93"/>
        <w:jc w:val="both"/>
        <w:rPr>
          <w:rFonts w:ascii="Palatino Linotype" w:eastAsia="Calibri" w:hAnsi="Palatino Linotype" w:cs="Tahoma"/>
          <w:sz w:val="22"/>
          <w:lang w:eastAsia="en-US"/>
        </w:rPr>
      </w:pPr>
      <w:r w:rsidRPr="00C46E72">
        <w:rPr>
          <w:rFonts w:ascii="Palatino Linotype" w:eastAsia="Calibri" w:hAnsi="Palatino Linotype" w:cs="Tahoma"/>
          <w:sz w:val="22"/>
          <w:lang w:eastAsia="en-US"/>
        </w:rPr>
        <w:t xml:space="preserve">Esta foja corresponde a la resolución de fecha </w:t>
      </w:r>
      <w:r w:rsidR="000E6108">
        <w:rPr>
          <w:rFonts w:ascii="Palatino Linotype" w:eastAsia="Calibri" w:hAnsi="Palatino Linotype" w:cs="Tahoma"/>
          <w:sz w:val="22"/>
          <w:lang w:eastAsia="en-US"/>
        </w:rPr>
        <w:t>treinta de enero</w:t>
      </w:r>
      <w:r w:rsidRPr="00C46E72">
        <w:rPr>
          <w:rFonts w:ascii="Palatino Linotype" w:eastAsia="Calibri" w:hAnsi="Palatino Linotype" w:cs="Tahoma"/>
          <w:sz w:val="22"/>
          <w:lang w:eastAsia="en-US"/>
        </w:rPr>
        <w:t xml:space="preserve"> de dos mil </w:t>
      </w:r>
      <w:r w:rsidR="006D7ED5">
        <w:rPr>
          <w:rFonts w:ascii="Palatino Linotype" w:eastAsia="Calibri" w:hAnsi="Palatino Linotype" w:cs="Tahoma"/>
          <w:sz w:val="22"/>
          <w:lang w:eastAsia="en-US"/>
        </w:rPr>
        <w:t>diecinueve</w:t>
      </w:r>
      <w:r w:rsidRPr="00C46E72">
        <w:rPr>
          <w:rFonts w:ascii="Palatino Linotype" w:eastAsia="Calibri" w:hAnsi="Palatino Linotype" w:cs="Tahoma"/>
          <w:sz w:val="22"/>
          <w:lang w:eastAsia="en-US"/>
        </w:rPr>
        <w:t xml:space="preserve">, emitida en el recurso de revisión número </w:t>
      </w:r>
      <w:r w:rsidR="000E6108" w:rsidRPr="008A6ED1">
        <w:rPr>
          <w:rFonts w:ascii="Palatino Linotype" w:eastAsia="Calibri" w:hAnsi="Palatino Linotype" w:cs="Tahoma"/>
          <w:b/>
          <w:bCs/>
          <w:sz w:val="22"/>
          <w:lang w:eastAsia="en-US"/>
        </w:rPr>
        <w:t>04366</w:t>
      </w:r>
      <w:r w:rsidR="00AE4E74" w:rsidRPr="008A6ED1">
        <w:rPr>
          <w:rFonts w:ascii="Palatino Linotype" w:eastAsia="Calibri" w:hAnsi="Palatino Linotype" w:cs="Tahoma"/>
          <w:b/>
          <w:bCs/>
          <w:sz w:val="22"/>
          <w:lang w:eastAsia="en-US"/>
        </w:rPr>
        <w:t>/INFOEM/IP/RR/2018</w:t>
      </w:r>
      <w:r w:rsidRPr="008A6ED1">
        <w:rPr>
          <w:rFonts w:ascii="Palatino Linotype" w:eastAsia="Calibri" w:hAnsi="Palatino Linotype" w:cs="Tahoma"/>
          <w:b/>
          <w:bCs/>
          <w:sz w:val="22"/>
          <w:lang w:eastAsia="en-US"/>
        </w:rPr>
        <w:t>.</w:t>
      </w:r>
    </w:p>
    <w:sectPr w:rsidR="00166E8E" w:rsidRPr="00C46E72" w:rsidSect="00A74376">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4BD54" w14:textId="77777777" w:rsidR="00E53323" w:rsidRDefault="00E53323" w:rsidP="00B31222">
      <w:r>
        <w:separator/>
      </w:r>
    </w:p>
  </w:endnote>
  <w:endnote w:type="continuationSeparator" w:id="0">
    <w:p w14:paraId="7E02605A" w14:textId="77777777" w:rsidR="00E53323" w:rsidRDefault="00E5332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189464B" w14:textId="7801712C" w:rsidR="00C1732A" w:rsidRPr="00147666" w:rsidRDefault="00C1732A">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C357B6">
              <w:rPr>
                <w:rFonts w:ascii="Palatino Linotype" w:hAnsi="Palatino Linotype"/>
                <w:b/>
                <w:bCs/>
                <w:noProof/>
              </w:rPr>
              <w:t>32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C357B6">
              <w:rPr>
                <w:rFonts w:ascii="Palatino Linotype" w:hAnsi="Palatino Linotype"/>
                <w:b/>
                <w:bCs/>
                <w:noProof/>
              </w:rPr>
              <w:t>32</w:t>
            </w:r>
            <w:r w:rsidRPr="00147666">
              <w:rPr>
                <w:rFonts w:ascii="Palatino Linotype" w:hAnsi="Palatino Linotype"/>
                <w:b/>
                <w:bCs/>
                <w:sz w:val="24"/>
                <w:szCs w:val="24"/>
              </w:rPr>
              <w:fldChar w:fldCharType="end"/>
            </w:r>
          </w:p>
        </w:sdtContent>
      </w:sdt>
    </w:sdtContent>
  </w:sdt>
  <w:p w14:paraId="5A5A5F52" w14:textId="77777777" w:rsidR="00C1732A" w:rsidRDefault="00C173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257F5C4" w14:textId="22536746" w:rsidR="00C1732A" w:rsidRDefault="00C173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57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57B6">
              <w:rPr>
                <w:b/>
                <w:bCs/>
                <w:noProof/>
              </w:rPr>
              <w:t>32</w:t>
            </w:r>
            <w:r>
              <w:rPr>
                <w:b/>
                <w:bCs/>
                <w:sz w:val="24"/>
                <w:szCs w:val="24"/>
              </w:rPr>
              <w:fldChar w:fldCharType="end"/>
            </w:r>
          </w:p>
        </w:sdtContent>
      </w:sdt>
    </w:sdtContent>
  </w:sdt>
  <w:p w14:paraId="337C46DB" w14:textId="77777777" w:rsidR="00C1732A" w:rsidRDefault="00C17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B4205" w14:textId="77777777" w:rsidR="00E53323" w:rsidRDefault="00E53323" w:rsidP="00B31222">
      <w:r>
        <w:separator/>
      </w:r>
    </w:p>
  </w:footnote>
  <w:footnote w:type="continuationSeparator" w:id="0">
    <w:p w14:paraId="4ACEF7B2" w14:textId="77777777" w:rsidR="00E53323" w:rsidRDefault="00E5332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1732A" w:rsidRPr="005C106F" w14:paraId="61E47C46" w14:textId="77777777" w:rsidTr="00202DB8">
      <w:trPr>
        <w:trHeight w:val="1435"/>
      </w:trPr>
      <w:tc>
        <w:tcPr>
          <w:tcW w:w="2835" w:type="dxa"/>
          <w:shd w:val="clear" w:color="auto" w:fill="auto"/>
        </w:tcPr>
        <w:p w14:paraId="17F9ECEB" w14:textId="77777777" w:rsidR="00C1732A" w:rsidRDefault="00C1732A" w:rsidP="00EF4A64">
          <w:pPr>
            <w:tabs>
              <w:tab w:val="right" w:pos="4273"/>
            </w:tabs>
            <w:rPr>
              <w:rFonts w:ascii="Garamond" w:eastAsia="Calibri" w:hAnsi="Garamond"/>
              <w:noProof/>
              <w:sz w:val="16"/>
              <w:szCs w:val="16"/>
              <w:lang w:eastAsia="es-MX"/>
            </w:rPr>
          </w:pPr>
        </w:p>
        <w:p w14:paraId="6A02C305" w14:textId="77777777" w:rsidR="00C1732A" w:rsidRPr="005C106F" w:rsidRDefault="00C1732A" w:rsidP="00EF4A64">
          <w:pPr>
            <w:tabs>
              <w:tab w:val="right" w:pos="4273"/>
            </w:tabs>
            <w:rPr>
              <w:rFonts w:ascii="Garamond" w:eastAsia="Calibri" w:hAnsi="Garamond"/>
              <w:sz w:val="16"/>
              <w:szCs w:val="16"/>
              <w:lang w:eastAsia="en-US"/>
            </w:rPr>
          </w:pPr>
        </w:p>
      </w:tc>
      <w:tc>
        <w:tcPr>
          <w:tcW w:w="6733" w:type="dxa"/>
          <w:shd w:val="clear" w:color="auto" w:fill="auto"/>
        </w:tcPr>
        <w:p w14:paraId="070073E2" w14:textId="77777777" w:rsidR="00C1732A" w:rsidRDefault="00C1732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1732A" w14:paraId="197C279A" w14:textId="77777777" w:rsidTr="00FF46FD">
            <w:trPr>
              <w:trHeight w:val="144"/>
            </w:trPr>
            <w:tc>
              <w:tcPr>
                <w:tcW w:w="2727" w:type="dxa"/>
              </w:tcPr>
              <w:p w14:paraId="708C5DC8" w14:textId="77777777" w:rsidR="00C1732A" w:rsidRDefault="00C1732A" w:rsidP="00A74376">
                <w:pPr>
                  <w:tabs>
                    <w:tab w:val="right" w:pos="8838"/>
                  </w:tabs>
                  <w:spacing w:line="360" w:lineRule="auto"/>
                  <w:ind w:right="-105"/>
                  <w:rPr>
                    <w:rFonts w:ascii="Palatino Linotype" w:eastAsia="Calibri" w:hAnsi="Palatino Linotype" w:cs="Tahoma"/>
                    <w:b/>
                    <w:sz w:val="24"/>
                    <w:szCs w:val="24"/>
                    <w:lang w:eastAsia="en-US"/>
                  </w:rPr>
                </w:pPr>
              </w:p>
              <w:p w14:paraId="376A4925" w14:textId="77777777" w:rsidR="00C1732A" w:rsidRPr="00FF46FD" w:rsidRDefault="00C1732A"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3F6C7C7" w14:textId="77777777" w:rsidR="00C1732A" w:rsidRDefault="00C1732A" w:rsidP="00A74376">
                <w:pPr>
                  <w:tabs>
                    <w:tab w:val="right" w:pos="8838"/>
                  </w:tabs>
                  <w:spacing w:line="360" w:lineRule="auto"/>
                  <w:ind w:left="-28" w:right="171"/>
                  <w:jc w:val="both"/>
                  <w:rPr>
                    <w:rFonts w:ascii="Palatino Linotype" w:eastAsia="Calibri" w:hAnsi="Palatino Linotype" w:cs="Tahoma"/>
                    <w:bCs/>
                    <w:sz w:val="24"/>
                    <w:szCs w:val="24"/>
                    <w:lang w:eastAsia="en-US"/>
                  </w:rPr>
                </w:pPr>
              </w:p>
              <w:p w14:paraId="0384D215" w14:textId="40C5AFCD" w:rsidR="00C1732A" w:rsidRPr="00FF46FD" w:rsidRDefault="00C1732A" w:rsidP="00A74376">
                <w:pPr>
                  <w:tabs>
                    <w:tab w:val="right" w:pos="8838"/>
                  </w:tabs>
                  <w:spacing w:line="360" w:lineRule="auto"/>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04366/INFOEM/IP/RR/2018</w:t>
                </w:r>
                <w:r w:rsidRPr="00FF46FD">
                  <w:rPr>
                    <w:rFonts w:ascii="Palatino Linotype" w:eastAsia="Calibri" w:hAnsi="Palatino Linotype" w:cs="Tahoma"/>
                    <w:bCs/>
                    <w:sz w:val="24"/>
                    <w:szCs w:val="24"/>
                    <w:lang w:eastAsia="en-US"/>
                  </w:rPr>
                  <w:t xml:space="preserve"> </w:t>
                </w:r>
              </w:p>
            </w:tc>
          </w:tr>
          <w:tr w:rsidR="00C1732A" w14:paraId="4A2ACF4B" w14:textId="77777777" w:rsidTr="00FF46FD">
            <w:trPr>
              <w:trHeight w:val="283"/>
            </w:trPr>
            <w:tc>
              <w:tcPr>
                <w:tcW w:w="2727" w:type="dxa"/>
              </w:tcPr>
              <w:p w14:paraId="4B080CB8" w14:textId="77777777" w:rsidR="00C1732A" w:rsidRPr="00FF46FD" w:rsidRDefault="00C1732A"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0EDCDD84" w14:textId="3441E699" w:rsidR="00C1732A" w:rsidRPr="00FF46FD" w:rsidRDefault="00C1732A" w:rsidP="008A6ED1">
                <w:pPr>
                  <w:tabs>
                    <w:tab w:val="left" w:pos="2834"/>
                    <w:tab w:val="right" w:pos="8838"/>
                  </w:tabs>
                  <w:spacing w:line="276" w:lineRule="auto"/>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Ayuntamiento de Naucalpan de Juárez</w:t>
                </w:r>
              </w:p>
            </w:tc>
          </w:tr>
          <w:tr w:rsidR="00C1732A" w14:paraId="1F5C6F27" w14:textId="77777777" w:rsidTr="00A74376">
            <w:trPr>
              <w:trHeight w:val="301"/>
            </w:trPr>
            <w:tc>
              <w:tcPr>
                <w:tcW w:w="2727" w:type="dxa"/>
              </w:tcPr>
              <w:p w14:paraId="675F4EE1" w14:textId="77777777" w:rsidR="00C1732A" w:rsidRPr="00FF46FD" w:rsidRDefault="00C1732A"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4E61F763" w14:textId="77777777" w:rsidR="00C1732A" w:rsidRPr="00FF46FD" w:rsidRDefault="00C1732A" w:rsidP="00A74376">
                <w:pPr>
                  <w:tabs>
                    <w:tab w:val="right" w:pos="8838"/>
                  </w:tabs>
                  <w:spacing w:line="360" w:lineRule="auto"/>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820EB02" w14:textId="77777777" w:rsidR="00C1732A" w:rsidRPr="005C106F" w:rsidRDefault="00C1732A" w:rsidP="005743D2">
          <w:pPr>
            <w:tabs>
              <w:tab w:val="right" w:pos="8838"/>
            </w:tabs>
            <w:ind w:left="-28"/>
            <w:jc w:val="both"/>
            <w:rPr>
              <w:rFonts w:ascii="Arial" w:eastAsia="Calibri" w:hAnsi="Arial" w:cs="Arial"/>
              <w:b/>
              <w:sz w:val="22"/>
              <w:szCs w:val="22"/>
              <w:lang w:eastAsia="en-US"/>
            </w:rPr>
          </w:pPr>
        </w:p>
      </w:tc>
    </w:tr>
  </w:tbl>
  <w:p w14:paraId="15806D63" w14:textId="77777777" w:rsidR="00C1732A" w:rsidRPr="00C97CFF" w:rsidRDefault="00C1732A" w:rsidP="00A74376">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1732A" w:rsidRPr="00C56D4D" w14:paraId="7ECBDAB9" w14:textId="77777777" w:rsidTr="003B165A">
      <w:trPr>
        <w:trHeight w:val="1435"/>
      </w:trPr>
      <w:tc>
        <w:tcPr>
          <w:tcW w:w="2835" w:type="dxa"/>
          <w:shd w:val="clear" w:color="auto" w:fill="auto"/>
        </w:tcPr>
        <w:p w14:paraId="39F1D041" w14:textId="77777777" w:rsidR="00C1732A" w:rsidRPr="00C56D4D" w:rsidRDefault="00C1732A" w:rsidP="00C56D4D">
          <w:pPr>
            <w:tabs>
              <w:tab w:val="right" w:pos="4273"/>
            </w:tabs>
            <w:spacing w:line="360" w:lineRule="auto"/>
            <w:rPr>
              <w:rFonts w:ascii="Garamond" w:eastAsia="Calibri" w:hAnsi="Garamond"/>
              <w:sz w:val="14"/>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1732A" w:rsidRPr="00C56D4D" w14:paraId="7E859986" w14:textId="77777777" w:rsidTr="00FF46FD">
            <w:trPr>
              <w:trHeight w:val="144"/>
            </w:trPr>
            <w:tc>
              <w:tcPr>
                <w:tcW w:w="2727" w:type="dxa"/>
              </w:tcPr>
              <w:p w14:paraId="0CCF1ED7" w14:textId="77777777" w:rsidR="00C1732A" w:rsidRPr="00C56D4D" w:rsidRDefault="00C1732A"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Recurso de Revisión:</w:t>
                </w:r>
              </w:p>
            </w:tc>
            <w:tc>
              <w:tcPr>
                <w:tcW w:w="3402" w:type="dxa"/>
              </w:tcPr>
              <w:p w14:paraId="00DECDB0" w14:textId="4F86A54B" w:rsidR="00C1732A" w:rsidRPr="00C56D4D" w:rsidRDefault="00C1732A" w:rsidP="00C56D4D">
                <w:pPr>
                  <w:tabs>
                    <w:tab w:val="right" w:pos="8838"/>
                  </w:tabs>
                  <w:spacing w:line="360" w:lineRule="auto"/>
                  <w:ind w:left="-74" w:right="-105"/>
                  <w:jc w:val="both"/>
                  <w:rPr>
                    <w:rFonts w:ascii="Palatino Linotype" w:eastAsia="Calibri" w:hAnsi="Palatino Linotype" w:cs="Tahoma"/>
                    <w:bCs/>
                    <w:sz w:val="22"/>
                    <w:szCs w:val="24"/>
                    <w:lang w:eastAsia="en-US"/>
                  </w:rPr>
                </w:pPr>
                <w:r>
                  <w:rPr>
                    <w:rFonts w:ascii="Palatino Linotype" w:eastAsia="Calibri" w:hAnsi="Palatino Linotype" w:cs="Tahoma"/>
                    <w:bCs/>
                    <w:sz w:val="22"/>
                    <w:szCs w:val="24"/>
                    <w:lang w:eastAsia="en-US"/>
                  </w:rPr>
                  <w:t>04366</w:t>
                </w:r>
                <w:r w:rsidRPr="00C56D4D">
                  <w:rPr>
                    <w:rFonts w:ascii="Palatino Linotype" w:eastAsia="Calibri" w:hAnsi="Palatino Linotype" w:cs="Tahoma"/>
                    <w:bCs/>
                    <w:sz w:val="22"/>
                    <w:szCs w:val="24"/>
                    <w:lang w:eastAsia="en-US"/>
                  </w:rPr>
                  <w:t xml:space="preserve">/INFOEM/IP/RR/2018 </w:t>
                </w:r>
              </w:p>
            </w:tc>
          </w:tr>
          <w:tr w:rsidR="00C1732A" w:rsidRPr="00C56D4D" w14:paraId="1AC2291D" w14:textId="77777777" w:rsidTr="00FF46FD">
            <w:trPr>
              <w:trHeight w:val="144"/>
            </w:trPr>
            <w:tc>
              <w:tcPr>
                <w:tcW w:w="2727" w:type="dxa"/>
              </w:tcPr>
              <w:p w14:paraId="665F998C" w14:textId="77777777" w:rsidR="00C1732A" w:rsidRPr="00C56D4D" w:rsidRDefault="00C1732A"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Recurrente:</w:t>
                </w:r>
              </w:p>
            </w:tc>
            <w:tc>
              <w:tcPr>
                <w:tcW w:w="3402" w:type="dxa"/>
              </w:tcPr>
              <w:p w14:paraId="7C927C94" w14:textId="51AC4217" w:rsidR="00C1732A" w:rsidRPr="00C56D4D" w:rsidRDefault="00A737A9" w:rsidP="00C56D4D">
                <w:pPr>
                  <w:tabs>
                    <w:tab w:val="left" w:pos="3122"/>
                    <w:tab w:val="right" w:pos="8838"/>
                  </w:tabs>
                  <w:spacing w:line="360" w:lineRule="auto"/>
                  <w:ind w:left="-74" w:right="-105"/>
                  <w:jc w:val="both"/>
                  <w:rPr>
                    <w:rFonts w:ascii="Palatino Linotype" w:eastAsia="Calibri" w:hAnsi="Palatino Linotype" w:cs="Tahoma"/>
                    <w:sz w:val="22"/>
                    <w:szCs w:val="24"/>
                    <w:lang w:eastAsia="en-US"/>
                  </w:rPr>
                </w:pPr>
                <w:r w:rsidRPr="00C357B6">
                  <w:rPr>
                    <w:rFonts w:ascii="Palatino Linotype" w:eastAsia="Calibri" w:hAnsi="Palatino Linotype" w:cs="Tahoma"/>
                    <w:sz w:val="22"/>
                    <w:szCs w:val="24"/>
                    <w:highlight w:val="black"/>
                    <w:lang w:eastAsia="en-US"/>
                  </w:rPr>
                  <w:t>XXXXXXXXXXXXXXXXXX</w:t>
                </w:r>
              </w:p>
            </w:tc>
          </w:tr>
          <w:tr w:rsidR="00C1732A" w:rsidRPr="00C56D4D" w14:paraId="7724739A" w14:textId="77777777" w:rsidTr="00FF46FD">
            <w:trPr>
              <w:trHeight w:val="283"/>
            </w:trPr>
            <w:tc>
              <w:tcPr>
                <w:tcW w:w="2727" w:type="dxa"/>
              </w:tcPr>
              <w:p w14:paraId="25AFEE04" w14:textId="77777777" w:rsidR="00C1732A" w:rsidRPr="00C56D4D" w:rsidRDefault="00C1732A"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Sujeto Obligado:</w:t>
                </w:r>
              </w:p>
            </w:tc>
            <w:tc>
              <w:tcPr>
                <w:tcW w:w="3402" w:type="dxa"/>
              </w:tcPr>
              <w:p w14:paraId="694AD6EF" w14:textId="0B498EEA" w:rsidR="00C1732A" w:rsidRPr="00C56D4D" w:rsidRDefault="00C1732A" w:rsidP="008A6ED1">
                <w:pPr>
                  <w:tabs>
                    <w:tab w:val="left" w:pos="2834"/>
                    <w:tab w:val="right" w:pos="8838"/>
                  </w:tabs>
                  <w:spacing w:line="276" w:lineRule="auto"/>
                  <w:ind w:left="-74" w:right="-105"/>
                  <w:jc w:val="both"/>
                  <w:rPr>
                    <w:rFonts w:ascii="Palatino Linotype" w:eastAsia="Calibri" w:hAnsi="Palatino Linotype" w:cs="Tahoma"/>
                    <w:b/>
                    <w:sz w:val="22"/>
                    <w:szCs w:val="24"/>
                    <w:lang w:eastAsia="en-US"/>
                  </w:rPr>
                </w:pPr>
                <w:r>
                  <w:rPr>
                    <w:rFonts w:ascii="Palatino Linotype" w:eastAsia="Calibri" w:hAnsi="Palatino Linotype" w:cs="Tahoma"/>
                    <w:sz w:val="22"/>
                    <w:szCs w:val="24"/>
                    <w:lang w:eastAsia="en-US"/>
                  </w:rPr>
                  <w:t>Ayuntamiento de Naucalpan de Juárez</w:t>
                </w:r>
              </w:p>
            </w:tc>
          </w:tr>
          <w:tr w:rsidR="00C1732A" w:rsidRPr="00C56D4D" w14:paraId="394BD486" w14:textId="77777777" w:rsidTr="00FF46FD">
            <w:trPr>
              <w:trHeight w:val="283"/>
            </w:trPr>
            <w:tc>
              <w:tcPr>
                <w:tcW w:w="2727" w:type="dxa"/>
              </w:tcPr>
              <w:p w14:paraId="4C73C08C" w14:textId="77777777" w:rsidR="00C1732A" w:rsidRPr="00C56D4D" w:rsidRDefault="00C1732A"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Comisionado Ponente:</w:t>
                </w:r>
              </w:p>
            </w:tc>
            <w:tc>
              <w:tcPr>
                <w:tcW w:w="3402" w:type="dxa"/>
              </w:tcPr>
              <w:p w14:paraId="0FAEA064" w14:textId="77777777" w:rsidR="00C1732A" w:rsidRPr="00C56D4D" w:rsidRDefault="00C1732A" w:rsidP="00C56D4D">
                <w:pPr>
                  <w:tabs>
                    <w:tab w:val="right" w:pos="8838"/>
                  </w:tabs>
                  <w:spacing w:line="360" w:lineRule="auto"/>
                  <w:ind w:left="-74" w:right="-105"/>
                  <w:jc w:val="both"/>
                  <w:rPr>
                    <w:rFonts w:ascii="Palatino Linotype" w:eastAsia="Calibri" w:hAnsi="Palatino Linotype" w:cs="Tahoma"/>
                    <w:b/>
                    <w:sz w:val="22"/>
                    <w:szCs w:val="24"/>
                    <w:lang w:eastAsia="en-US"/>
                  </w:rPr>
                </w:pPr>
                <w:r w:rsidRPr="00C56D4D">
                  <w:rPr>
                    <w:rFonts w:ascii="Palatino Linotype" w:eastAsia="Calibri" w:hAnsi="Palatino Linotype" w:cs="Tahoma"/>
                    <w:sz w:val="22"/>
                    <w:szCs w:val="24"/>
                    <w:lang w:eastAsia="en-US"/>
                  </w:rPr>
                  <w:t>Luis Gustavo Parra Noriega</w:t>
                </w:r>
              </w:p>
            </w:tc>
          </w:tr>
        </w:tbl>
        <w:p w14:paraId="2D24FB5D" w14:textId="77777777" w:rsidR="00C1732A" w:rsidRPr="00C56D4D" w:rsidRDefault="00C1732A" w:rsidP="00C56D4D">
          <w:pPr>
            <w:tabs>
              <w:tab w:val="right" w:pos="8838"/>
            </w:tabs>
            <w:spacing w:line="360" w:lineRule="auto"/>
            <w:ind w:left="-28"/>
            <w:jc w:val="both"/>
            <w:rPr>
              <w:rFonts w:ascii="Arial" w:eastAsia="Calibri" w:hAnsi="Arial" w:cs="Arial"/>
              <w:b/>
              <w:szCs w:val="22"/>
              <w:lang w:eastAsia="en-US"/>
            </w:rPr>
          </w:pPr>
        </w:p>
      </w:tc>
    </w:tr>
  </w:tbl>
  <w:p w14:paraId="6D92F765" w14:textId="77777777" w:rsidR="00C1732A" w:rsidRPr="00C97CFF" w:rsidRDefault="00C1732A" w:rsidP="00C56D4D">
    <w:pPr>
      <w:pStyle w:val="Encabezado"/>
      <w:spacing w:line="360" w:lineRule="aut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4F5A76"/>
    <w:multiLevelType w:val="hybridMultilevel"/>
    <w:tmpl w:val="6EA42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C3B7B"/>
    <w:multiLevelType w:val="hybridMultilevel"/>
    <w:tmpl w:val="16181A24"/>
    <w:lvl w:ilvl="0" w:tplc="080A001B">
      <w:start w:val="1"/>
      <w:numFmt w:val="lowerRoman"/>
      <w:lvlText w:val="%1."/>
      <w:lvlJc w:val="righ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6" w15:restartNumberingAfterBreak="0">
    <w:nsid w:val="19DD6AA7"/>
    <w:multiLevelType w:val="hybridMultilevel"/>
    <w:tmpl w:val="A6D82D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B652AE"/>
    <w:multiLevelType w:val="hybridMultilevel"/>
    <w:tmpl w:val="3D544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395D70"/>
    <w:multiLevelType w:val="hybridMultilevel"/>
    <w:tmpl w:val="BC0A656E"/>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682628"/>
    <w:multiLevelType w:val="hybridMultilevel"/>
    <w:tmpl w:val="F6E8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DA74DE"/>
    <w:multiLevelType w:val="hybridMultilevel"/>
    <w:tmpl w:val="70D87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7C5DC5"/>
    <w:multiLevelType w:val="hybridMultilevel"/>
    <w:tmpl w:val="0DD63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0"/>
  </w:num>
  <w:num w:numId="3">
    <w:abstractNumId w:val="3"/>
  </w:num>
  <w:num w:numId="4">
    <w:abstractNumId w:val="28"/>
  </w:num>
  <w:num w:numId="5">
    <w:abstractNumId w:val="8"/>
  </w:num>
  <w:num w:numId="6">
    <w:abstractNumId w:val="27"/>
  </w:num>
  <w:num w:numId="7">
    <w:abstractNumId w:val="7"/>
  </w:num>
  <w:num w:numId="8">
    <w:abstractNumId w:val="25"/>
  </w:num>
  <w:num w:numId="9">
    <w:abstractNumId w:val="14"/>
  </w:num>
  <w:num w:numId="10">
    <w:abstractNumId w:val="1"/>
  </w:num>
  <w:num w:numId="11">
    <w:abstractNumId w:val="12"/>
  </w:num>
  <w:num w:numId="12">
    <w:abstractNumId w:val="22"/>
  </w:num>
  <w:num w:numId="13">
    <w:abstractNumId w:val="23"/>
  </w:num>
  <w:num w:numId="14">
    <w:abstractNumId w:val="20"/>
  </w:num>
  <w:num w:numId="15">
    <w:abstractNumId w:val="16"/>
  </w:num>
  <w:num w:numId="16">
    <w:abstractNumId w:val="18"/>
  </w:num>
  <w:num w:numId="17">
    <w:abstractNumId w:val="13"/>
  </w:num>
  <w:num w:numId="18">
    <w:abstractNumId w:val="19"/>
  </w:num>
  <w:num w:numId="19">
    <w:abstractNumId w:val="26"/>
  </w:num>
  <w:num w:numId="20">
    <w:abstractNumId w:val="30"/>
  </w:num>
  <w:num w:numId="21">
    <w:abstractNumId w:val="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
  </w:num>
  <w:num w:numId="26">
    <w:abstractNumId w:val="15"/>
  </w:num>
  <w:num w:numId="27">
    <w:abstractNumId w:val="9"/>
  </w:num>
  <w:num w:numId="28">
    <w:abstractNumId w:val="17"/>
  </w:num>
  <w:num w:numId="29">
    <w:abstractNumId w:val="5"/>
  </w:num>
  <w:num w:numId="30">
    <w:abstractNumId w:val="10"/>
  </w:num>
  <w:num w:numId="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2B05"/>
    <w:rsid w:val="0000485A"/>
    <w:rsid w:val="00006543"/>
    <w:rsid w:val="000112BA"/>
    <w:rsid w:val="00013A19"/>
    <w:rsid w:val="00014465"/>
    <w:rsid w:val="0001485F"/>
    <w:rsid w:val="000164E6"/>
    <w:rsid w:val="00017D26"/>
    <w:rsid w:val="00020818"/>
    <w:rsid w:val="000212E5"/>
    <w:rsid w:val="00021C64"/>
    <w:rsid w:val="00022CE2"/>
    <w:rsid w:val="000241C5"/>
    <w:rsid w:val="00025F5D"/>
    <w:rsid w:val="000313A7"/>
    <w:rsid w:val="0003243C"/>
    <w:rsid w:val="00032F5B"/>
    <w:rsid w:val="00034E9D"/>
    <w:rsid w:val="000373BC"/>
    <w:rsid w:val="00037B34"/>
    <w:rsid w:val="00037F4B"/>
    <w:rsid w:val="00043C4B"/>
    <w:rsid w:val="0004464C"/>
    <w:rsid w:val="0004646B"/>
    <w:rsid w:val="000528E6"/>
    <w:rsid w:val="000560FE"/>
    <w:rsid w:val="0006017B"/>
    <w:rsid w:val="00064855"/>
    <w:rsid w:val="000813B0"/>
    <w:rsid w:val="0008148B"/>
    <w:rsid w:val="000876F7"/>
    <w:rsid w:val="000934F0"/>
    <w:rsid w:val="00097211"/>
    <w:rsid w:val="000A0518"/>
    <w:rsid w:val="000A20A4"/>
    <w:rsid w:val="000A3BF3"/>
    <w:rsid w:val="000A5058"/>
    <w:rsid w:val="000A5B11"/>
    <w:rsid w:val="000A7211"/>
    <w:rsid w:val="000B1D37"/>
    <w:rsid w:val="000B2C93"/>
    <w:rsid w:val="000B36DD"/>
    <w:rsid w:val="000B5711"/>
    <w:rsid w:val="000B6020"/>
    <w:rsid w:val="000C2283"/>
    <w:rsid w:val="000C24C0"/>
    <w:rsid w:val="000C27CA"/>
    <w:rsid w:val="000C59CB"/>
    <w:rsid w:val="000D0B08"/>
    <w:rsid w:val="000D2A27"/>
    <w:rsid w:val="000D4002"/>
    <w:rsid w:val="000E0BEA"/>
    <w:rsid w:val="000E6108"/>
    <w:rsid w:val="000E72F0"/>
    <w:rsid w:val="000F0550"/>
    <w:rsid w:val="000F24C8"/>
    <w:rsid w:val="000F2EBF"/>
    <w:rsid w:val="000F3DA0"/>
    <w:rsid w:val="000F4112"/>
    <w:rsid w:val="000F4183"/>
    <w:rsid w:val="000F4876"/>
    <w:rsid w:val="000F555D"/>
    <w:rsid w:val="000F7A45"/>
    <w:rsid w:val="000F7FD8"/>
    <w:rsid w:val="00100BAC"/>
    <w:rsid w:val="001017B7"/>
    <w:rsid w:val="001034C6"/>
    <w:rsid w:val="001049B0"/>
    <w:rsid w:val="00104ADB"/>
    <w:rsid w:val="001057BC"/>
    <w:rsid w:val="00106C24"/>
    <w:rsid w:val="00107D2F"/>
    <w:rsid w:val="00113314"/>
    <w:rsid w:val="001133D5"/>
    <w:rsid w:val="00114068"/>
    <w:rsid w:val="00114574"/>
    <w:rsid w:val="001150E9"/>
    <w:rsid w:val="00122D68"/>
    <w:rsid w:val="00123038"/>
    <w:rsid w:val="00127757"/>
    <w:rsid w:val="00132A80"/>
    <w:rsid w:val="00132F95"/>
    <w:rsid w:val="0013791C"/>
    <w:rsid w:val="0014307A"/>
    <w:rsid w:val="00144D0B"/>
    <w:rsid w:val="00147566"/>
    <w:rsid w:val="00147666"/>
    <w:rsid w:val="00151053"/>
    <w:rsid w:val="00151FBB"/>
    <w:rsid w:val="00155F96"/>
    <w:rsid w:val="00156408"/>
    <w:rsid w:val="00156A6B"/>
    <w:rsid w:val="001571F0"/>
    <w:rsid w:val="00161DF9"/>
    <w:rsid w:val="00162383"/>
    <w:rsid w:val="0016266F"/>
    <w:rsid w:val="00162CCE"/>
    <w:rsid w:val="00165891"/>
    <w:rsid w:val="00166E8E"/>
    <w:rsid w:val="00170545"/>
    <w:rsid w:val="00171ADD"/>
    <w:rsid w:val="00173693"/>
    <w:rsid w:val="0017459B"/>
    <w:rsid w:val="00175CEB"/>
    <w:rsid w:val="00176367"/>
    <w:rsid w:val="00177DF2"/>
    <w:rsid w:val="00182D6C"/>
    <w:rsid w:val="00182DCE"/>
    <w:rsid w:val="00182F0F"/>
    <w:rsid w:val="00183D24"/>
    <w:rsid w:val="001851A6"/>
    <w:rsid w:val="001875A7"/>
    <w:rsid w:val="001879E1"/>
    <w:rsid w:val="0019389B"/>
    <w:rsid w:val="00194DA1"/>
    <w:rsid w:val="001A1B94"/>
    <w:rsid w:val="001A22F5"/>
    <w:rsid w:val="001A2F91"/>
    <w:rsid w:val="001A7F8B"/>
    <w:rsid w:val="001A7FD2"/>
    <w:rsid w:val="001B107D"/>
    <w:rsid w:val="001B2CD9"/>
    <w:rsid w:val="001B30D1"/>
    <w:rsid w:val="001B62A0"/>
    <w:rsid w:val="001C0E3C"/>
    <w:rsid w:val="001C282F"/>
    <w:rsid w:val="001C3674"/>
    <w:rsid w:val="001C3ADC"/>
    <w:rsid w:val="001D0086"/>
    <w:rsid w:val="001D0094"/>
    <w:rsid w:val="001D2EF7"/>
    <w:rsid w:val="001D7012"/>
    <w:rsid w:val="001D7BD2"/>
    <w:rsid w:val="001E2A4D"/>
    <w:rsid w:val="001E53C2"/>
    <w:rsid w:val="001E655D"/>
    <w:rsid w:val="001F08DF"/>
    <w:rsid w:val="001F0E9C"/>
    <w:rsid w:val="001F0EB8"/>
    <w:rsid w:val="001F1540"/>
    <w:rsid w:val="001F652C"/>
    <w:rsid w:val="001F78D9"/>
    <w:rsid w:val="0020015C"/>
    <w:rsid w:val="00202DB8"/>
    <w:rsid w:val="00203888"/>
    <w:rsid w:val="00205168"/>
    <w:rsid w:val="00207736"/>
    <w:rsid w:val="00212460"/>
    <w:rsid w:val="00213E5E"/>
    <w:rsid w:val="00215AC7"/>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59B3"/>
    <w:rsid w:val="00246DB3"/>
    <w:rsid w:val="00247B17"/>
    <w:rsid w:val="00250389"/>
    <w:rsid w:val="00252669"/>
    <w:rsid w:val="00253D95"/>
    <w:rsid w:val="00254209"/>
    <w:rsid w:val="00254288"/>
    <w:rsid w:val="0025469C"/>
    <w:rsid w:val="002579CE"/>
    <w:rsid w:val="00260FEC"/>
    <w:rsid w:val="00261DD6"/>
    <w:rsid w:val="002657E2"/>
    <w:rsid w:val="00270625"/>
    <w:rsid w:val="002716A1"/>
    <w:rsid w:val="002725D9"/>
    <w:rsid w:val="002727CC"/>
    <w:rsid w:val="00273679"/>
    <w:rsid w:val="00281A35"/>
    <w:rsid w:val="00281AD9"/>
    <w:rsid w:val="00282331"/>
    <w:rsid w:val="00284486"/>
    <w:rsid w:val="00285644"/>
    <w:rsid w:val="0028581E"/>
    <w:rsid w:val="002914D4"/>
    <w:rsid w:val="0029250F"/>
    <w:rsid w:val="00293491"/>
    <w:rsid w:val="00295639"/>
    <w:rsid w:val="002A0188"/>
    <w:rsid w:val="002A0FB8"/>
    <w:rsid w:val="002A1B97"/>
    <w:rsid w:val="002A57D2"/>
    <w:rsid w:val="002A6193"/>
    <w:rsid w:val="002A7BD4"/>
    <w:rsid w:val="002A7F32"/>
    <w:rsid w:val="002B20A1"/>
    <w:rsid w:val="002B226E"/>
    <w:rsid w:val="002B3FA3"/>
    <w:rsid w:val="002B46D4"/>
    <w:rsid w:val="002B54CF"/>
    <w:rsid w:val="002D1BE4"/>
    <w:rsid w:val="002D6C50"/>
    <w:rsid w:val="002E0F97"/>
    <w:rsid w:val="002E5015"/>
    <w:rsid w:val="002E7ACF"/>
    <w:rsid w:val="002F0C1A"/>
    <w:rsid w:val="002F0CE9"/>
    <w:rsid w:val="002F3BD0"/>
    <w:rsid w:val="00300A0B"/>
    <w:rsid w:val="00301F46"/>
    <w:rsid w:val="00303CAD"/>
    <w:rsid w:val="00303E71"/>
    <w:rsid w:val="00306418"/>
    <w:rsid w:val="003100F3"/>
    <w:rsid w:val="00310C11"/>
    <w:rsid w:val="00311A98"/>
    <w:rsid w:val="00312037"/>
    <w:rsid w:val="00316600"/>
    <w:rsid w:val="003172EC"/>
    <w:rsid w:val="0032170B"/>
    <w:rsid w:val="00321DF7"/>
    <w:rsid w:val="00323325"/>
    <w:rsid w:val="003243B0"/>
    <w:rsid w:val="00325130"/>
    <w:rsid w:val="00325EC0"/>
    <w:rsid w:val="00331FEE"/>
    <w:rsid w:val="003340EC"/>
    <w:rsid w:val="003350FF"/>
    <w:rsid w:val="0033638C"/>
    <w:rsid w:val="0034057C"/>
    <w:rsid w:val="003439F0"/>
    <w:rsid w:val="00343C28"/>
    <w:rsid w:val="0034442E"/>
    <w:rsid w:val="003475EF"/>
    <w:rsid w:val="00350142"/>
    <w:rsid w:val="00351D5A"/>
    <w:rsid w:val="00353B6D"/>
    <w:rsid w:val="00354920"/>
    <w:rsid w:val="00355DC6"/>
    <w:rsid w:val="003604D7"/>
    <w:rsid w:val="00361176"/>
    <w:rsid w:val="00361F9A"/>
    <w:rsid w:val="0036351E"/>
    <w:rsid w:val="00364521"/>
    <w:rsid w:val="00365026"/>
    <w:rsid w:val="00367F02"/>
    <w:rsid w:val="00367F82"/>
    <w:rsid w:val="003726F0"/>
    <w:rsid w:val="00372803"/>
    <w:rsid w:val="003749EC"/>
    <w:rsid w:val="003756AF"/>
    <w:rsid w:val="00375815"/>
    <w:rsid w:val="00380441"/>
    <w:rsid w:val="00382696"/>
    <w:rsid w:val="0038438A"/>
    <w:rsid w:val="0038470F"/>
    <w:rsid w:val="003864D2"/>
    <w:rsid w:val="00390249"/>
    <w:rsid w:val="00390BF8"/>
    <w:rsid w:val="00392877"/>
    <w:rsid w:val="00392E12"/>
    <w:rsid w:val="003938A6"/>
    <w:rsid w:val="00393AAD"/>
    <w:rsid w:val="0039452B"/>
    <w:rsid w:val="00394D7E"/>
    <w:rsid w:val="003956E9"/>
    <w:rsid w:val="003965EC"/>
    <w:rsid w:val="00396BA0"/>
    <w:rsid w:val="003A0E17"/>
    <w:rsid w:val="003A357E"/>
    <w:rsid w:val="003A6E62"/>
    <w:rsid w:val="003A78B5"/>
    <w:rsid w:val="003A7BE8"/>
    <w:rsid w:val="003A7C85"/>
    <w:rsid w:val="003A7DE9"/>
    <w:rsid w:val="003A7FBE"/>
    <w:rsid w:val="003B0D09"/>
    <w:rsid w:val="003B0F93"/>
    <w:rsid w:val="003B165A"/>
    <w:rsid w:val="003B1A7B"/>
    <w:rsid w:val="003B2140"/>
    <w:rsid w:val="003B22CA"/>
    <w:rsid w:val="003B3588"/>
    <w:rsid w:val="003B47C6"/>
    <w:rsid w:val="003C28B8"/>
    <w:rsid w:val="003C6934"/>
    <w:rsid w:val="003C7FD0"/>
    <w:rsid w:val="003D0268"/>
    <w:rsid w:val="003D1A43"/>
    <w:rsid w:val="003D1A64"/>
    <w:rsid w:val="003D28AB"/>
    <w:rsid w:val="003D4DC2"/>
    <w:rsid w:val="003D624F"/>
    <w:rsid w:val="003E31E5"/>
    <w:rsid w:val="003E32ED"/>
    <w:rsid w:val="003E3A39"/>
    <w:rsid w:val="003E58C9"/>
    <w:rsid w:val="003F0DFC"/>
    <w:rsid w:val="003F2061"/>
    <w:rsid w:val="003F650B"/>
    <w:rsid w:val="00400447"/>
    <w:rsid w:val="004004E9"/>
    <w:rsid w:val="004009E8"/>
    <w:rsid w:val="004052C5"/>
    <w:rsid w:val="00407932"/>
    <w:rsid w:val="004100AA"/>
    <w:rsid w:val="00410CD2"/>
    <w:rsid w:val="00412203"/>
    <w:rsid w:val="00417DE3"/>
    <w:rsid w:val="00420B07"/>
    <w:rsid w:val="00422869"/>
    <w:rsid w:val="00422DD1"/>
    <w:rsid w:val="00424866"/>
    <w:rsid w:val="00426448"/>
    <w:rsid w:val="00427457"/>
    <w:rsid w:val="0043257A"/>
    <w:rsid w:val="00436FD3"/>
    <w:rsid w:val="004406CF"/>
    <w:rsid w:val="00441804"/>
    <w:rsid w:val="004435B4"/>
    <w:rsid w:val="0045654D"/>
    <w:rsid w:val="0046048A"/>
    <w:rsid w:val="00460830"/>
    <w:rsid w:val="00463FD4"/>
    <w:rsid w:val="00465306"/>
    <w:rsid w:val="00466346"/>
    <w:rsid w:val="00467197"/>
    <w:rsid w:val="004702B0"/>
    <w:rsid w:val="004751D6"/>
    <w:rsid w:val="00475E6B"/>
    <w:rsid w:val="00477BCB"/>
    <w:rsid w:val="00477DBA"/>
    <w:rsid w:val="00477E20"/>
    <w:rsid w:val="00480BB8"/>
    <w:rsid w:val="00481D51"/>
    <w:rsid w:val="00481E7E"/>
    <w:rsid w:val="0048519E"/>
    <w:rsid w:val="00485DBF"/>
    <w:rsid w:val="00485EC7"/>
    <w:rsid w:val="004860BD"/>
    <w:rsid w:val="004865EA"/>
    <w:rsid w:val="00487430"/>
    <w:rsid w:val="0048755F"/>
    <w:rsid w:val="004931B2"/>
    <w:rsid w:val="00493960"/>
    <w:rsid w:val="004A0A7B"/>
    <w:rsid w:val="004A0BB0"/>
    <w:rsid w:val="004A26CD"/>
    <w:rsid w:val="004A3584"/>
    <w:rsid w:val="004A3836"/>
    <w:rsid w:val="004A5121"/>
    <w:rsid w:val="004A577A"/>
    <w:rsid w:val="004A6ECB"/>
    <w:rsid w:val="004A7990"/>
    <w:rsid w:val="004A7CFD"/>
    <w:rsid w:val="004B1796"/>
    <w:rsid w:val="004B1A8D"/>
    <w:rsid w:val="004B591D"/>
    <w:rsid w:val="004B6F2D"/>
    <w:rsid w:val="004B7542"/>
    <w:rsid w:val="004C4ACC"/>
    <w:rsid w:val="004C538C"/>
    <w:rsid w:val="004C7E83"/>
    <w:rsid w:val="004D5DB3"/>
    <w:rsid w:val="004D7F78"/>
    <w:rsid w:val="004E330F"/>
    <w:rsid w:val="004E345F"/>
    <w:rsid w:val="004E3BBA"/>
    <w:rsid w:val="004E401B"/>
    <w:rsid w:val="004E41C7"/>
    <w:rsid w:val="004E4F26"/>
    <w:rsid w:val="004E7DB7"/>
    <w:rsid w:val="004F2D88"/>
    <w:rsid w:val="004F3D21"/>
    <w:rsid w:val="004F46E5"/>
    <w:rsid w:val="00502781"/>
    <w:rsid w:val="005070C3"/>
    <w:rsid w:val="005110A6"/>
    <w:rsid w:val="005220BE"/>
    <w:rsid w:val="00531F69"/>
    <w:rsid w:val="00542A15"/>
    <w:rsid w:val="00542D5F"/>
    <w:rsid w:val="005435DE"/>
    <w:rsid w:val="00544C28"/>
    <w:rsid w:val="00546BAE"/>
    <w:rsid w:val="00552EBD"/>
    <w:rsid w:val="00553827"/>
    <w:rsid w:val="00555F71"/>
    <w:rsid w:val="00557905"/>
    <w:rsid w:val="00563BEB"/>
    <w:rsid w:val="0056604C"/>
    <w:rsid w:val="005740F6"/>
    <w:rsid w:val="005743D2"/>
    <w:rsid w:val="00575905"/>
    <w:rsid w:val="00575D3D"/>
    <w:rsid w:val="005802BD"/>
    <w:rsid w:val="00586FA8"/>
    <w:rsid w:val="00587F23"/>
    <w:rsid w:val="00591E3A"/>
    <w:rsid w:val="00592805"/>
    <w:rsid w:val="00593CB4"/>
    <w:rsid w:val="00593E68"/>
    <w:rsid w:val="00594091"/>
    <w:rsid w:val="005970C1"/>
    <w:rsid w:val="0059727F"/>
    <w:rsid w:val="005B0D7C"/>
    <w:rsid w:val="005B0E86"/>
    <w:rsid w:val="005B6854"/>
    <w:rsid w:val="005C1943"/>
    <w:rsid w:val="005C37A0"/>
    <w:rsid w:val="005C3F44"/>
    <w:rsid w:val="005C4034"/>
    <w:rsid w:val="005C651C"/>
    <w:rsid w:val="005C656A"/>
    <w:rsid w:val="005C6D3E"/>
    <w:rsid w:val="005D1427"/>
    <w:rsid w:val="005D49C8"/>
    <w:rsid w:val="005D5607"/>
    <w:rsid w:val="005D7418"/>
    <w:rsid w:val="005E3242"/>
    <w:rsid w:val="005E37E9"/>
    <w:rsid w:val="005E4166"/>
    <w:rsid w:val="005E4D92"/>
    <w:rsid w:val="005F03DB"/>
    <w:rsid w:val="005F38A5"/>
    <w:rsid w:val="005F4001"/>
    <w:rsid w:val="005F5818"/>
    <w:rsid w:val="00603A46"/>
    <w:rsid w:val="00606194"/>
    <w:rsid w:val="006061B1"/>
    <w:rsid w:val="00610E92"/>
    <w:rsid w:val="0061115C"/>
    <w:rsid w:val="00611A49"/>
    <w:rsid w:val="00613017"/>
    <w:rsid w:val="00613A54"/>
    <w:rsid w:val="00616189"/>
    <w:rsid w:val="0062078C"/>
    <w:rsid w:val="00620E8F"/>
    <w:rsid w:val="00621760"/>
    <w:rsid w:val="006217BB"/>
    <w:rsid w:val="00625BD5"/>
    <w:rsid w:val="00625DFB"/>
    <w:rsid w:val="006277B7"/>
    <w:rsid w:val="00633E46"/>
    <w:rsid w:val="00634D1A"/>
    <w:rsid w:val="00635B84"/>
    <w:rsid w:val="00637179"/>
    <w:rsid w:val="0064561F"/>
    <w:rsid w:val="00645F7D"/>
    <w:rsid w:val="00646100"/>
    <w:rsid w:val="00647119"/>
    <w:rsid w:val="006476CA"/>
    <w:rsid w:val="006526EB"/>
    <w:rsid w:val="00652CFA"/>
    <w:rsid w:val="006552AE"/>
    <w:rsid w:val="00655773"/>
    <w:rsid w:val="006563CA"/>
    <w:rsid w:val="006578FC"/>
    <w:rsid w:val="00657C41"/>
    <w:rsid w:val="006608AB"/>
    <w:rsid w:val="006620DA"/>
    <w:rsid w:val="00664587"/>
    <w:rsid w:val="00666F25"/>
    <w:rsid w:val="00667C1C"/>
    <w:rsid w:val="00670463"/>
    <w:rsid w:val="00672D82"/>
    <w:rsid w:val="00673DD4"/>
    <w:rsid w:val="00674542"/>
    <w:rsid w:val="00674AEB"/>
    <w:rsid w:val="00676D6D"/>
    <w:rsid w:val="006828D8"/>
    <w:rsid w:val="0068455C"/>
    <w:rsid w:val="00684887"/>
    <w:rsid w:val="00684C45"/>
    <w:rsid w:val="0068634F"/>
    <w:rsid w:val="00686E0C"/>
    <w:rsid w:val="00693C8E"/>
    <w:rsid w:val="00694B83"/>
    <w:rsid w:val="006969BA"/>
    <w:rsid w:val="00697FF1"/>
    <w:rsid w:val="006A026A"/>
    <w:rsid w:val="006A0425"/>
    <w:rsid w:val="006A1D62"/>
    <w:rsid w:val="006A431A"/>
    <w:rsid w:val="006A4EAE"/>
    <w:rsid w:val="006A56C3"/>
    <w:rsid w:val="006A6D7F"/>
    <w:rsid w:val="006B0298"/>
    <w:rsid w:val="006B0E83"/>
    <w:rsid w:val="006B19C6"/>
    <w:rsid w:val="006B5493"/>
    <w:rsid w:val="006C10C0"/>
    <w:rsid w:val="006C1B1D"/>
    <w:rsid w:val="006C32BB"/>
    <w:rsid w:val="006C3747"/>
    <w:rsid w:val="006C7760"/>
    <w:rsid w:val="006C7EEA"/>
    <w:rsid w:val="006D42AA"/>
    <w:rsid w:val="006D522C"/>
    <w:rsid w:val="006D56AA"/>
    <w:rsid w:val="006D6857"/>
    <w:rsid w:val="006D7343"/>
    <w:rsid w:val="006D7795"/>
    <w:rsid w:val="006D7ACB"/>
    <w:rsid w:val="006D7ED5"/>
    <w:rsid w:val="006E00EF"/>
    <w:rsid w:val="006E06BB"/>
    <w:rsid w:val="006E1A7A"/>
    <w:rsid w:val="006E4109"/>
    <w:rsid w:val="006E716F"/>
    <w:rsid w:val="006F01E7"/>
    <w:rsid w:val="006F129C"/>
    <w:rsid w:val="006F1F3A"/>
    <w:rsid w:val="006F56F8"/>
    <w:rsid w:val="006F662E"/>
    <w:rsid w:val="006F748D"/>
    <w:rsid w:val="006F779D"/>
    <w:rsid w:val="006F7EB8"/>
    <w:rsid w:val="00702DD7"/>
    <w:rsid w:val="007047D3"/>
    <w:rsid w:val="00705C40"/>
    <w:rsid w:val="0071087E"/>
    <w:rsid w:val="00712F10"/>
    <w:rsid w:val="007229A1"/>
    <w:rsid w:val="007235AA"/>
    <w:rsid w:val="007238EB"/>
    <w:rsid w:val="00732289"/>
    <w:rsid w:val="00735915"/>
    <w:rsid w:val="00735C21"/>
    <w:rsid w:val="0073614A"/>
    <w:rsid w:val="00736FF2"/>
    <w:rsid w:val="00740C8C"/>
    <w:rsid w:val="00741AC4"/>
    <w:rsid w:val="007440C5"/>
    <w:rsid w:val="0075039A"/>
    <w:rsid w:val="007515BC"/>
    <w:rsid w:val="007573B2"/>
    <w:rsid w:val="007574BB"/>
    <w:rsid w:val="0075764C"/>
    <w:rsid w:val="0076062C"/>
    <w:rsid w:val="00762198"/>
    <w:rsid w:val="00763CE8"/>
    <w:rsid w:val="00770792"/>
    <w:rsid w:val="0077224A"/>
    <w:rsid w:val="00774FFE"/>
    <w:rsid w:val="00775638"/>
    <w:rsid w:val="00775677"/>
    <w:rsid w:val="0077599A"/>
    <w:rsid w:val="0077724D"/>
    <w:rsid w:val="00777353"/>
    <w:rsid w:val="00780CD6"/>
    <w:rsid w:val="00781D24"/>
    <w:rsid w:val="00781F24"/>
    <w:rsid w:val="00782EA4"/>
    <w:rsid w:val="007835B9"/>
    <w:rsid w:val="00785461"/>
    <w:rsid w:val="00786FF3"/>
    <w:rsid w:val="007876CF"/>
    <w:rsid w:val="00793090"/>
    <w:rsid w:val="0079674D"/>
    <w:rsid w:val="00796F2A"/>
    <w:rsid w:val="007A0176"/>
    <w:rsid w:val="007A2F67"/>
    <w:rsid w:val="007A3918"/>
    <w:rsid w:val="007A5C4F"/>
    <w:rsid w:val="007B0E89"/>
    <w:rsid w:val="007B2C38"/>
    <w:rsid w:val="007B2E54"/>
    <w:rsid w:val="007B576C"/>
    <w:rsid w:val="007B7498"/>
    <w:rsid w:val="007B7AEE"/>
    <w:rsid w:val="007C31D1"/>
    <w:rsid w:val="007C76DC"/>
    <w:rsid w:val="007C7EB6"/>
    <w:rsid w:val="007D2F75"/>
    <w:rsid w:val="007D7E3A"/>
    <w:rsid w:val="007E22E7"/>
    <w:rsid w:val="007E276F"/>
    <w:rsid w:val="007E4232"/>
    <w:rsid w:val="007E5CD5"/>
    <w:rsid w:val="007E63B0"/>
    <w:rsid w:val="007E69BB"/>
    <w:rsid w:val="007E6AB8"/>
    <w:rsid w:val="007E7E96"/>
    <w:rsid w:val="007F2109"/>
    <w:rsid w:val="007F21C5"/>
    <w:rsid w:val="007F2822"/>
    <w:rsid w:val="007F33C1"/>
    <w:rsid w:val="007F3D5C"/>
    <w:rsid w:val="007F3EF1"/>
    <w:rsid w:val="0080056E"/>
    <w:rsid w:val="00801BCE"/>
    <w:rsid w:val="00802515"/>
    <w:rsid w:val="008037D5"/>
    <w:rsid w:val="00803DCA"/>
    <w:rsid w:val="0081066B"/>
    <w:rsid w:val="0081283F"/>
    <w:rsid w:val="00812C0C"/>
    <w:rsid w:val="0081480A"/>
    <w:rsid w:val="00815B01"/>
    <w:rsid w:val="008202EB"/>
    <w:rsid w:val="00820F86"/>
    <w:rsid w:val="00823338"/>
    <w:rsid w:val="00825B10"/>
    <w:rsid w:val="00826D4B"/>
    <w:rsid w:val="00827F88"/>
    <w:rsid w:val="008336A5"/>
    <w:rsid w:val="00835474"/>
    <w:rsid w:val="008373C0"/>
    <w:rsid w:val="0084145F"/>
    <w:rsid w:val="00841DA2"/>
    <w:rsid w:val="00844398"/>
    <w:rsid w:val="00844CB5"/>
    <w:rsid w:val="008458F6"/>
    <w:rsid w:val="00845AED"/>
    <w:rsid w:val="0084708E"/>
    <w:rsid w:val="00851AE4"/>
    <w:rsid w:val="008554B6"/>
    <w:rsid w:val="0085598D"/>
    <w:rsid w:val="00862771"/>
    <w:rsid w:val="0086521F"/>
    <w:rsid w:val="0086682F"/>
    <w:rsid w:val="00874894"/>
    <w:rsid w:val="00876F54"/>
    <w:rsid w:val="00877292"/>
    <w:rsid w:val="0087754A"/>
    <w:rsid w:val="0087766C"/>
    <w:rsid w:val="00880552"/>
    <w:rsid w:val="008839DA"/>
    <w:rsid w:val="00884EE8"/>
    <w:rsid w:val="00885168"/>
    <w:rsid w:val="0089149A"/>
    <w:rsid w:val="0089173B"/>
    <w:rsid w:val="00891E76"/>
    <w:rsid w:val="0089220F"/>
    <w:rsid w:val="00893258"/>
    <w:rsid w:val="008935AA"/>
    <w:rsid w:val="00895FC8"/>
    <w:rsid w:val="008963F0"/>
    <w:rsid w:val="00897444"/>
    <w:rsid w:val="008A03A5"/>
    <w:rsid w:val="008A0DF3"/>
    <w:rsid w:val="008A1A15"/>
    <w:rsid w:val="008A282C"/>
    <w:rsid w:val="008A2A98"/>
    <w:rsid w:val="008A4138"/>
    <w:rsid w:val="008A5D96"/>
    <w:rsid w:val="008A6ED1"/>
    <w:rsid w:val="008B5215"/>
    <w:rsid w:val="008B6848"/>
    <w:rsid w:val="008C2FA1"/>
    <w:rsid w:val="008C5BE4"/>
    <w:rsid w:val="008D2C4C"/>
    <w:rsid w:val="008D7E0D"/>
    <w:rsid w:val="008D7EDB"/>
    <w:rsid w:val="008E1829"/>
    <w:rsid w:val="008E2327"/>
    <w:rsid w:val="008E5077"/>
    <w:rsid w:val="008E64F0"/>
    <w:rsid w:val="008E6FF3"/>
    <w:rsid w:val="008E7B05"/>
    <w:rsid w:val="008F18ED"/>
    <w:rsid w:val="008F21A4"/>
    <w:rsid w:val="008F46C2"/>
    <w:rsid w:val="008F7068"/>
    <w:rsid w:val="00903D37"/>
    <w:rsid w:val="009049B2"/>
    <w:rsid w:val="0091055D"/>
    <w:rsid w:val="00914C61"/>
    <w:rsid w:val="00917D6F"/>
    <w:rsid w:val="00921B1A"/>
    <w:rsid w:val="00921B7F"/>
    <w:rsid w:val="00921DDA"/>
    <w:rsid w:val="00922DE1"/>
    <w:rsid w:val="00924309"/>
    <w:rsid w:val="0092600D"/>
    <w:rsid w:val="0093039D"/>
    <w:rsid w:val="0093042C"/>
    <w:rsid w:val="00931361"/>
    <w:rsid w:val="00931E4F"/>
    <w:rsid w:val="0093364D"/>
    <w:rsid w:val="00936574"/>
    <w:rsid w:val="00937EE1"/>
    <w:rsid w:val="00943BCE"/>
    <w:rsid w:val="009440E0"/>
    <w:rsid w:val="00951636"/>
    <w:rsid w:val="009536AA"/>
    <w:rsid w:val="00954D38"/>
    <w:rsid w:val="00956C84"/>
    <w:rsid w:val="00960346"/>
    <w:rsid w:val="009617D3"/>
    <w:rsid w:val="0096347D"/>
    <w:rsid w:val="0096463B"/>
    <w:rsid w:val="00966499"/>
    <w:rsid w:val="0096652E"/>
    <w:rsid w:val="00967869"/>
    <w:rsid w:val="0096796E"/>
    <w:rsid w:val="00971F54"/>
    <w:rsid w:val="009725C5"/>
    <w:rsid w:val="00973F40"/>
    <w:rsid w:val="009740CB"/>
    <w:rsid w:val="00980900"/>
    <w:rsid w:val="009819B2"/>
    <w:rsid w:val="00983EED"/>
    <w:rsid w:val="009849EF"/>
    <w:rsid w:val="00986DB7"/>
    <w:rsid w:val="00987A88"/>
    <w:rsid w:val="009934CF"/>
    <w:rsid w:val="00996CB0"/>
    <w:rsid w:val="009A0D75"/>
    <w:rsid w:val="009A347A"/>
    <w:rsid w:val="009A413D"/>
    <w:rsid w:val="009A620E"/>
    <w:rsid w:val="009A7148"/>
    <w:rsid w:val="009A724B"/>
    <w:rsid w:val="009B196F"/>
    <w:rsid w:val="009B686C"/>
    <w:rsid w:val="009B6A6F"/>
    <w:rsid w:val="009C1AFE"/>
    <w:rsid w:val="009C1D3A"/>
    <w:rsid w:val="009C3E33"/>
    <w:rsid w:val="009C5F24"/>
    <w:rsid w:val="009D048B"/>
    <w:rsid w:val="009D69C6"/>
    <w:rsid w:val="009D7A97"/>
    <w:rsid w:val="009E2DE4"/>
    <w:rsid w:val="009E357F"/>
    <w:rsid w:val="009E5419"/>
    <w:rsid w:val="009E5A6E"/>
    <w:rsid w:val="009E70E7"/>
    <w:rsid w:val="009F25A8"/>
    <w:rsid w:val="009F46DC"/>
    <w:rsid w:val="00A01C00"/>
    <w:rsid w:val="00A048C6"/>
    <w:rsid w:val="00A104F3"/>
    <w:rsid w:val="00A112B6"/>
    <w:rsid w:val="00A118F5"/>
    <w:rsid w:val="00A11CAD"/>
    <w:rsid w:val="00A1620D"/>
    <w:rsid w:val="00A16AC0"/>
    <w:rsid w:val="00A16DC1"/>
    <w:rsid w:val="00A23D31"/>
    <w:rsid w:val="00A24C9B"/>
    <w:rsid w:val="00A24F17"/>
    <w:rsid w:val="00A25901"/>
    <w:rsid w:val="00A26ECD"/>
    <w:rsid w:val="00A27D2B"/>
    <w:rsid w:val="00A301A7"/>
    <w:rsid w:val="00A30C34"/>
    <w:rsid w:val="00A30FD3"/>
    <w:rsid w:val="00A33752"/>
    <w:rsid w:val="00A35E2F"/>
    <w:rsid w:val="00A37891"/>
    <w:rsid w:val="00A40A51"/>
    <w:rsid w:val="00A43DC1"/>
    <w:rsid w:val="00A44B30"/>
    <w:rsid w:val="00A47916"/>
    <w:rsid w:val="00A536DA"/>
    <w:rsid w:val="00A571CD"/>
    <w:rsid w:val="00A57C3D"/>
    <w:rsid w:val="00A6094B"/>
    <w:rsid w:val="00A6697B"/>
    <w:rsid w:val="00A719AA"/>
    <w:rsid w:val="00A737A9"/>
    <w:rsid w:val="00A73DE3"/>
    <w:rsid w:val="00A74376"/>
    <w:rsid w:val="00A74C2D"/>
    <w:rsid w:val="00A76B34"/>
    <w:rsid w:val="00A77B87"/>
    <w:rsid w:val="00A83487"/>
    <w:rsid w:val="00A854FF"/>
    <w:rsid w:val="00A86612"/>
    <w:rsid w:val="00A87035"/>
    <w:rsid w:val="00A8745D"/>
    <w:rsid w:val="00A908DA"/>
    <w:rsid w:val="00A90F9B"/>
    <w:rsid w:val="00A92694"/>
    <w:rsid w:val="00A93072"/>
    <w:rsid w:val="00A9629C"/>
    <w:rsid w:val="00AA35D5"/>
    <w:rsid w:val="00AA417B"/>
    <w:rsid w:val="00AA533F"/>
    <w:rsid w:val="00AA5A86"/>
    <w:rsid w:val="00AA613F"/>
    <w:rsid w:val="00AB010D"/>
    <w:rsid w:val="00AB0749"/>
    <w:rsid w:val="00AB76D8"/>
    <w:rsid w:val="00AB775F"/>
    <w:rsid w:val="00AB7E6A"/>
    <w:rsid w:val="00AC1B61"/>
    <w:rsid w:val="00AC1F38"/>
    <w:rsid w:val="00AC2C6E"/>
    <w:rsid w:val="00AC4922"/>
    <w:rsid w:val="00AC5588"/>
    <w:rsid w:val="00AC5EE6"/>
    <w:rsid w:val="00AD0378"/>
    <w:rsid w:val="00AD0D24"/>
    <w:rsid w:val="00AD1923"/>
    <w:rsid w:val="00AD2611"/>
    <w:rsid w:val="00AD3164"/>
    <w:rsid w:val="00AD3AC5"/>
    <w:rsid w:val="00AD3D57"/>
    <w:rsid w:val="00AD56A1"/>
    <w:rsid w:val="00AE47BF"/>
    <w:rsid w:val="00AE4E74"/>
    <w:rsid w:val="00AF6432"/>
    <w:rsid w:val="00AF6DED"/>
    <w:rsid w:val="00AF79BD"/>
    <w:rsid w:val="00B0733A"/>
    <w:rsid w:val="00B07F12"/>
    <w:rsid w:val="00B1039D"/>
    <w:rsid w:val="00B1047E"/>
    <w:rsid w:val="00B10BAE"/>
    <w:rsid w:val="00B14154"/>
    <w:rsid w:val="00B1415B"/>
    <w:rsid w:val="00B15278"/>
    <w:rsid w:val="00B17EE2"/>
    <w:rsid w:val="00B20112"/>
    <w:rsid w:val="00B21C08"/>
    <w:rsid w:val="00B222A2"/>
    <w:rsid w:val="00B234EC"/>
    <w:rsid w:val="00B274AE"/>
    <w:rsid w:val="00B274BF"/>
    <w:rsid w:val="00B27509"/>
    <w:rsid w:val="00B31222"/>
    <w:rsid w:val="00B32B07"/>
    <w:rsid w:val="00B35B66"/>
    <w:rsid w:val="00B41557"/>
    <w:rsid w:val="00B41E58"/>
    <w:rsid w:val="00B42E81"/>
    <w:rsid w:val="00B4329D"/>
    <w:rsid w:val="00B43796"/>
    <w:rsid w:val="00B475F7"/>
    <w:rsid w:val="00B520F9"/>
    <w:rsid w:val="00B52812"/>
    <w:rsid w:val="00B5495A"/>
    <w:rsid w:val="00B577A3"/>
    <w:rsid w:val="00B6144B"/>
    <w:rsid w:val="00B619B8"/>
    <w:rsid w:val="00B64641"/>
    <w:rsid w:val="00B725D9"/>
    <w:rsid w:val="00B7262F"/>
    <w:rsid w:val="00B727C5"/>
    <w:rsid w:val="00B73FD4"/>
    <w:rsid w:val="00B74FC5"/>
    <w:rsid w:val="00B75A6C"/>
    <w:rsid w:val="00B7618A"/>
    <w:rsid w:val="00B8222D"/>
    <w:rsid w:val="00B82F2D"/>
    <w:rsid w:val="00B8324B"/>
    <w:rsid w:val="00B83E2A"/>
    <w:rsid w:val="00B83E38"/>
    <w:rsid w:val="00B85DF3"/>
    <w:rsid w:val="00B86C19"/>
    <w:rsid w:val="00B874FD"/>
    <w:rsid w:val="00B92EDF"/>
    <w:rsid w:val="00B93345"/>
    <w:rsid w:val="00B93510"/>
    <w:rsid w:val="00B93E33"/>
    <w:rsid w:val="00B954F3"/>
    <w:rsid w:val="00B95BCD"/>
    <w:rsid w:val="00B95CDC"/>
    <w:rsid w:val="00B95CE5"/>
    <w:rsid w:val="00BA0D0B"/>
    <w:rsid w:val="00BB375D"/>
    <w:rsid w:val="00BB49A0"/>
    <w:rsid w:val="00BB515F"/>
    <w:rsid w:val="00BB532B"/>
    <w:rsid w:val="00BC1FA5"/>
    <w:rsid w:val="00BC2C0C"/>
    <w:rsid w:val="00BC732A"/>
    <w:rsid w:val="00BC758B"/>
    <w:rsid w:val="00BD0F82"/>
    <w:rsid w:val="00BD2EAC"/>
    <w:rsid w:val="00BD4BB3"/>
    <w:rsid w:val="00BE17C6"/>
    <w:rsid w:val="00BE2BD3"/>
    <w:rsid w:val="00BE4865"/>
    <w:rsid w:val="00BE69BF"/>
    <w:rsid w:val="00BE6FA4"/>
    <w:rsid w:val="00BE725A"/>
    <w:rsid w:val="00BE7430"/>
    <w:rsid w:val="00BE7B48"/>
    <w:rsid w:val="00BF3381"/>
    <w:rsid w:val="00BF375D"/>
    <w:rsid w:val="00BF75F0"/>
    <w:rsid w:val="00C03BB2"/>
    <w:rsid w:val="00C10DA1"/>
    <w:rsid w:val="00C10FCF"/>
    <w:rsid w:val="00C147A6"/>
    <w:rsid w:val="00C16B4B"/>
    <w:rsid w:val="00C1732A"/>
    <w:rsid w:val="00C17427"/>
    <w:rsid w:val="00C2018E"/>
    <w:rsid w:val="00C20C00"/>
    <w:rsid w:val="00C210FD"/>
    <w:rsid w:val="00C22901"/>
    <w:rsid w:val="00C24497"/>
    <w:rsid w:val="00C25238"/>
    <w:rsid w:val="00C305F2"/>
    <w:rsid w:val="00C3345C"/>
    <w:rsid w:val="00C357B6"/>
    <w:rsid w:val="00C407E5"/>
    <w:rsid w:val="00C40DC6"/>
    <w:rsid w:val="00C42DAC"/>
    <w:rsid w:val="00C4342B"/>
    <w:rsid w:val="00C440D3"/>
    <w:rsid w:val="00C459A9"/>
    <w:rsid w:val="00C46E72"/>
    <w:rsid w:val="00C502A5"/>
    <w:rsid w:val="00C521F7"/>
    <w:rsid w:val="00C53008"/>
    <w:rsid w:val="00C55151"/>
    <w:rsid w:val="00C558FF"/>
    <w:rsid w:val="00C560FA"/>
    <w:rsid w:val="00C56D4D"/>
    <w:rsid w:val="00C57FF9"/>
    <w:rsid w:val="00C64434"/>
    <w:rsid w:val="00C64B27"/>
    <w:rsid w:val="00C6689A"/>
    <w:rsid w:val="00C7063C"/>
    <w:rsid w:val="00C73C57"/>
    <w:rsid w:val="00C746D9"/>
    <w:rsid w:val="00C74D43"/>
    <w:rsid w:val="00C75CA7"/>
    <w:rsid w:val="00C7736E"/>
    <w:rsid w:val="00C86FC6"/>
    <w:rsid w:val="00C901BB"/>
    <w:rsid w:val="00C90CD3"/>
    <w:rsid w:val="00C92552"/>
    <w:rsid w:val="00C93F1B"/>
    <w:rsid w:val="00C976D1"/>
    <w:rsid w:val="00C97CFF"/>
    <w:rsid w:val="00CA162D"/>
    <w:rsid w:val="00CA308F"/>
    <w:rsid w:val="00CA6685"/>
    <w:rsid w:val="00CA71D4"/>
    <w:rsid w:val="00CB0BC0"/>
    <w:rsid w:val="00CB5D29"/>
    <w:rsid w:val="00CB66C7"/>
    <w:rsid w:val="00CB675A"/>
    <w:rsid w:val="00CB782B"/>
    <w:rsid w:val="00CC0E77"/>
    <w:rsid w:val="00CC2092"/>
    <w:rsid w:val="00CC285C"/>
    <w:rsid w:val="00CC382B"/>
    <w:rsid w:val="00CC5E76"/>
    <w:rsid w:val="00CC63EF"/>
    <w:rsid w:val="00CC66EC"/>
    <w:rsid w:val="00CD3A5D"/>
    <w:rsid w:val="00CD5FD4"/>
    <w:rsid w:val="00CE0DCE"/>
    <w:rsid w:val="00CE1BC9"/>
    <w:rsid w:val="00CE23FB"/>
    <w:rsid w:val="00CE33C1"/>
    <w:rsid w:val="00CE4DD6"/>
    <w:rsid w:val="00CE76FF"/>
    <w:rsid w:val="00CF4012"/>
    <w:rsid w:val="00CF44EF"/>
    <w:rsid w:val="00CF49EB"/>
    <w:rsid w:val="00CF5B19"/>
    <w:rsid w:val="00D01F75"/>
    <w:rsid w:val="00D02BC6"/>
    <w:rsid w:val="00D0310D"/>
    <w:rsid w:val="00D03AC9"/>
    <w:rsid w:val="00D04B14"/>
    <w:rsid w:val="00D05803"/>
    <w:rsid w:val="00D05C7C"/>
    <w:rsid w:val="00D06906"/>
    <w:rsid w:val="00D0721D"/>
    <w:rsid w:val="00D07742"/>
    <w:rsid w:val="00D1276A"/>
    <w:rsid w:val="00D130E1"/>
    <w:rsid w:val="00D14DB7"/>
    <w:rsid w:val="00D15ED5"/>
    <w:rsid w:val="00D166E7"/>
    <w:rsid w:val="00D167CD"/>
    <w:rsid w:val="00D200AB"/>
    <w:rsid w:val="00D30BD2"/>
    <w:rsid w:val="00D31CD5"/>
    <w:rsid w:val="00D348F7"/>
    <w:rsid w:val="00D36EF4"/>
    <w:rsid w:val="00D371D0"/>
    <w:rsid w:val="00D4062A"/>
    <w:rsid w:val="00D40BC3"/>
    <w:rsid w:val="00D434EC"/>
    <w:rsid w:val="00D43C48"/>
    <w:rsid w:val="00D44E9D"/>
    <w:rsid w:val="00D472A7"/>
    <w:rsid w:val="00D47CF1"/>
    <w:rsid w:val="00D51515"/>
    <w:rsid w:val="00D60CFC"/>
    <w:rsid w:val="00D61A0E"/>
    <w:rsid w:val="00D64511"/>
    <w:rsid w:val="00D71CF9"/>
    <w:rsid w:val="00D73721"/>
    <w:rsid w:val="00D80F9D"/>
    <w:rsid w:val="00D81BAE"/>
    <w:rsid w:val="00D84B17"/>
    <w:rsid w:val="00D8507D"/>
    <w:rsid w:val="00D85619"/>
    <w:rsid w:val="00D86735"/>
    <w:rsid w:val="00D8718E"/>
    <w:rsid w:val="00D871FB"/>
    <w:rsid w:val="00D90C9D"/>
    <w:rsid w:val="00D90E57"/>
    <w:rsid w:val="00D91910"/>
    <w:rsid w:val="00D91AA8"/>
    <w:rsid w:val="00D91BA4"/>
    <w:rsid w:val="00D944A6"/>
    <w:rsid w:val="00D96FC3"/>
    <w:rsid w:val="00D972C9"/>
    <w:rsid w:val="00DA0839"/>
    <w:rsid w:val="00DA12C3"/>
    <w:rsid w:val="00DA1E7E"/>
    <w:rsid w:val="00DA2664"/>
    <w:rsid w:val="00DA495D"/>
    <w:rsid w:val="00DA5F4D"/>
    <w:rsid w:val="00DA7BA0"/>
    <w:rsid w:val="00DB469A"/>
    <w:rsid w:val="00DB52C3"/>
    <w:rsid w:val="00DB5DA3"/>
    <w:rsid w:val="00DB6E47"/>
    <w:rsid w:val="00DB7E5F"/>
    <w:rsid w:val="00DC10B0"/>
    <w:rsid w:val="00DC1594"/>
    <w:rsid w:val="00DC3BE0"/>
    <w:rsid w:val="00DC4BCD"/>
    <w:rsid w:val="00DD1107"/>
    <w:rsid w:val="00DD178F"/>
    <w:rsid w:val="00DD1FE4"/>
    <w:rsid w:val="00DD38C2"/>
    <w:rsid w:val="00DD5D41"/>
    <w:rsid w:val="00DE2966"/>
    <w:rsid w:val="00DE4107"/>
    <w:rsid w:val="00DF04ED"/>
    <w:rsid w:val="00DF0B5E"/>
    <w:rsid w:val="00DF0ED5"/>
    <w:rsid w:val="00DF4820"/>
    <w:rsid w:val="00DF72D9"/>
    <w:rsid w:val="00DF730C"/>
    <w:rsid w:val="00DF7EC8"/>
    <w:rsid w:val="00E028ED"/>
    <w:rsid w:val="00E104F6"/>
    <w:rsid w:val="00E10748"/>
    <w:rsid w:val="00E12F57"/>
    <w:rsid w:val="00E14282"/>
    <w:rsid w:val="00E156F2"/>
    <w:rsid w:val="00E21437"/>
    <w:rsid w:val="00E2250E"/>
    <w:rsid w:val="00E2456F"/>
    <w:rsid w:val="00E24BF5"/>
    <w:rsid w:val="00E27DDF"/>
    <w:rsid w:val="00E27E01"/>
    <w:rsid w:val="00E30A90"/>
    <w:rsid w:val="00E32DBA"/>
    <w:rsid w:val="00E43469"/>
    <w:rsid w:val="00E43A0F"/>
    <w:rsid w:val="00E445DA"/>
    <w:rsid w:val="00E4518F"/>
    <w:rsid w:val="00E45379"/>
    <w:rsid w:val="00E50B22"/>
    <w:rsid w:val="00E51E18"/>
    <w:rsid w:val="00E53323"/>
    <w:rsid w:val="00E533BD"/>
    <w:rsid w:val="00E53706"/>
    <w:rsid w:val="00E57CE2"/>
    <w:rsid w:val="00E617BD"/>
    <w:rsid w:val="00E61E05"/>
    <w:rsid w:val="00E64BD9"/>
    <w:rsid w:val="00E67E50"/>
    <w:rsid w:val="00E705B4"/>
    <w:rsid w:val="00E72967"/>
    <w:rsid w:val="00E8018E"/>
    <w:rsid w:val="00E8155D"/>
    <w:rsid w:val="00E85CC0"/>
    <w:rsid w:val="00E976C5"/>
    <w:rsid w:val="00E97CA3"/>
    <w:rsid w:val="00EA0E04"/>
    <w:rsid w:val="00EA220D"/>
    <w:rsid w:val="00EA3156"/>
    <w:rsid w:val="00EA40A2"/>
    <w:rsid w:val="00EA4CD5"/>
    <w:rsid w:val="00EA5D2C"/>
    <w:rsid w:val="00EA5D8E"/>
    <w:rsid w:val="00EB07CF"/>
    <w:rsid w:val="00EB3B88"/>
    <w:rsid w:val="00EB5CBB"/>
    <w:rsid w:val="00EC0C14"/>
    <w:rsid w:val="00EC39E0"/>
    <w:rsid w:val="00EC3B8F"/>
    <w:rsid w:val="00EC5CA0"/>
    <w:rsid w:val="00EC7372"/>
    <w:rsid w:val="00ED19D1"/>
    <w:rsid w:val="00ED30E8"/>
    <w:rsid w:val="00ED3B69"/>
    <w:rsid w:val="00ED6CD1"/>
    <w:rsid w:val="00EE5F2E"/>
    <w:rsid w:val="00EE69BC"/>
    <w:rsid w:val="00EE6C20"/>
    <w:rsid w:val="00EE7A1C"/>
    <w:rsid w:val="00EF4A64"/>
    <w:rsid w:val="00F02171"/>
    <w:rsid w:val="00F033EF"/>
    <w:rsid w:val="00F061A6"/>
    <w:rsid w:val="00F0710C"/>
    <w:rsid w:val="00F11AB3"/>
    <w:rsid w:val="00F139D2"/>
    <w:rsid w:val="00F14017"/>
    <w:rsid w:val="00F1684C"/>
    <w:rsid w:val="00F20633"/>
    <w:rsid w:val="00F25CFE"/>
    <w:rsid w:val="00F35243"/>
    <w:rsid w:val="00F43E6E"/>
    <w:rsid w:val="00F43EBF"/>
    <w:rsid w:val="00F44423"/>
    <w:rsid w:val="00F51236"/>
    <w:rsid w:val="00F513CC"/>
    <w:rsid w:val="00F514A6"/>
    <w:rsid w:val="00F5374C"/>
    <w:rsid w:val="00F541B8"/>
    <w:rsid w:val="00F56CC2"/>
    <w:rsid w:val="00F60BC0"/>
    <w:rsid w:val="00F61B7F"/>
    <w:rsid w:val="00F62370"/>
    <w:rsid w:val="00F628D3"/>
    <w:rsid w:val="00F64738"/>
    <w:rsid w:val="00F6497E"/>
    <w:rsid w:val="00F677E2"/>
    <w:rsid w:val="00F708AF"/>
    <w:rsid w:val="00F73751"/>
    <w:rsid w:val="00F75EAD"/>
    <w:rsid w:val="00F77154"/>
    <w:rsid w:val="00F80F33"/>
    <w:rsid w:val="00F840C9"/>
    <w:rsid w:val="00F846D6"/>
    <w:rsid w:val="00F878EB"/>
    <w:rsid w:val="00F9173A"/>
    <w:rsid w:val="00F91800"/>
    <w:rsid w:val="00F946C6"/>
    <w:rsid w:val="00F94E99"/>
    <w:rsid w:val="00F9650A"/>
    <w:rsid w:val="00F967C7"/>
    <w:rsid w:val="00FA0437"/>
    <w:rsid w:val="00FA233F"/>
    <w:rsid w:val="00FA2E05"/>
    <w:rsid w:val="00FA30FF"/>
    <w:rsid w:val="00FA7D57"/>
    <w:rsid w:val="00FB0008"/>
    <w:rsid w:val="00FB0190"/>
    <w:rsid w:val="00FB071C"/>
    <w:rsid w:val="00FB3EA0"/>
    <w:rsid w:val="00FB55F4"/>
    <w:rsid w:val="00FB7140"/>
    <w:rsid w:val="00FC0B63"/>
    <w:rsid w:val="00FC2209"/>
    <w:rsid w:val="00FC5569"/>
    <w:rsid w:val="00FC7531"/>
    <w:rsid w:val="00FC7EAA"/>
    <w:rsid w:val="00FD4FA5"/>
    <w:rsid w:val="00FD5166"/>
    <w:rsid w:val="00FE376F"/>
    <w:rsid w:val="00FE555B"/>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5778"/>
  <w15:docId w15:val="{9E36A4A9-7D58-49AE-899A-E304A9BD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4C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95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834758">
      <w:bodyDiv w:val="1"/>
      <w:marLeft w:val="0"/>
      <w:marRight w:val="0"/>
      <w:marTop w:val="0"/>
      <w:marBottom w:val="0"/>
      <w:divBdr>
        <w:top w:val="none" w:sz="0" w:space="0" w:color="auto"/>
        <w:left w:val="none" w:sz="0" w:space="0" w:color="auto"/>
        <w:bottom w:val="none" w:sz="0" w:space="0" w:color="auto"/>
        <w:right w:val="none" w:sz="0" w:space="0" w:color="auto"/>
      </w:divBdr>
    </w:div>
    <w:div w:id="12782183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790346">
      <w:bodyDiv w:val="1"/>
      <w:marLeft w:val="0"/>
      <w:marRight w:val="0"/>
      <w:marTop w:val="0"/>
      <w:marBottom w:val="0"/>
      <w:divBdr>
        <w:top w:val="none" w:sz="0" w:space="0" w:color="auto"/>
        <w:left w:val="none" w:sz="0" w:space="0" w:color="auto"/>
        <w:bottom w:val="none" w:sz="0" w:space="0" w:color="auto"/>
        <w:right w:val="none" w:sz="0" w:space="0" w:color="auto"/>
      </w:divBdr>
    </w:div>
    <w:div w:id="238635406">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4335014">
      <w:bodyDiv w:val="1"/>
      <w:marLeft w:val="0"/>
      <w:marRight w:val="0"/>
      <w:marTop w:val="0"/>
      <w:marBottom w:val="0"/>
      <w:divBdr>
        <w:top w:val="none" w:sz="0" w:space="0" w:color="auto"/>
        <w:left w:val="none" w:sz="0" w:space="0" w:color="auto"/>
        <w:bottom w:val="none" w:sz="0" w:space="0" w:color="auto"/>
        <w:right w:val="none" w:sz="0" w:space="0" w:color="auto"/>
      </w:divBdr>
    </w:div>
    <w:div w:id="34394430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3942380">
      <w:bodyDiv w:val="1"/>
      <w:marLeft w:val="0"/>
      <w:marRight w:val="0"/>
      <w:marTop w:val="0"/>
      <w:marBottom w:val="0"/>
      <w:divBdr>
        <w:top w:val="none" w:sz="0" w:space="0" w:color="auto"/>
        <w:left w:val="none" w:sz="0" w:space="0" w:color="auto"/>
        <w:bottom w:val="none" w:sz="0" w:space="0" w:color="auto"/>
        <w:right w:val="none" w:sz="0" w:space="0" w:color="auto"/>
      </w:divBdr>
    </w:div>
    <w:div w:id="39374698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007317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39766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429762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74031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200674450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naucalpan/convenios.web"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lgt/indice/naucalpan/convenios.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sfem.gob.mx/04_Normatividad/doc/Normatividad/2017/10_LinInfMenMpales17.pdf" TargetMode="External"/><Relationship Id="rId23" Type="http://schemas.openxmlformats.org/officeDocument/2006/relationships/footer" Target="footer2.xml"/><Relationship Id="rId10" Type="http://schemas.openxmlformats.org/officeDocument/2006/relationships/hyperlink" Target="https://www.ipomex.org.mx/ipo/lgt/indice/naucalpan/convenios.web" TargetMode="External"/><Relationship Id="rId19" Type="http://schemas.openxmlformats.org/officeDocument/2006/relationships/hyperlink" Target="https://www.ipomex.org.mx/ipo/lgt/indice/naucalpan/convenios.web" TargetMode="External"/><Relationship Id="rId4" Type="http://schemas.openxmlformats.org/officeDocument/2006/relationships/settings" Target="settings.xml"/><Relationship Id="rId9" Type="http://schemas.openxmlformats.org/officeDocument/2006/relationships/hyperlink" Target="https://www.ipomex.org.mx/ipo/lgt/indice/naucalpan/convenios.web" TargetMode="Externa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13AB-3E33-45EA-B17B-699D19D7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7284</Words>
  <Characters>40064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4</cp:revision>
  <cp:lastPrinted>2018-11-24T00:03:00Z</cp:lastPrinted>
  <dcterms:created xsi:type="dcterms:W3CDTF">2019-02-05T01:39:00Z</dcterms:created>
  <dcterms:modified xsi:type="dcterms:W3CDTF">2019-02-19T01:02:00Z</dcterms:modified>
</cp:coreProperties>
</file>